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Riot Platforms, Inc.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under the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Bitfarms Ltd.</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001-40370)</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12% IN BITFARMS LTD.</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CASTLE ROCK, CO, June 5,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 Instrument 62-103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The Early Warning System and Related Take-Over Bid and Insider Reporting Issues </w:t>
      </w:r>
      <w:r>
        <w:rPr>
          <w:rFonts w:ascii="Times New Roman" w:cs="Times New Roman" w:eastAsia="Times New Roman" w:hAnsi="Times New Roman"/>
          <w:sz w:val="18"/>
          <w:szCs w:val="18"/>
          <w:color w:val="auto"/>
        </w:rPr>
        <w:t>and Part 5 of Canadian National Instrument 62-104 –</w:t>
      </w:r>
      <w:r>
        <w:rPr>
          <w:rFonts w:ascii="Times New Roman" w:cs="Times New Roman" w:eastAsia="Times New Roman" w:hAnsi="Times New Roman"/>
          <w:sz w:val="18"/>
          <w:szCs w:val="18"/>
          <w:i w:val="1"/>
          <w:iCs w:val="1"/>
          <w:color w:val="auto"/>
        </w:rPr>
        <w:t xml:space="preserve"> Take-Over Bids and Issuer Bids </w:t>
      </w:r>
      <w:r>
        <w:rPr>
          <w:rFonts w:ascii="Times New Roman" w:cs="Times New Roman" w:eastAsia="Times New Roman" w:hAnsi="Times New Roman"/>
          <w:sz w:val="18"/>
          <w:szCs w:val="18"/>
          <w:color w:val="auto"/>
        </w:rPr>
        <w:t>in respect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Riot announces that on June 5, 2024 it acquired ownership of 1,460,278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0.37%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w:t>
      </w:r>
    </w:p>
    <w:p>
      <w:pPr>
        <w:spacing w:after="0" w:line="15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US$2.45 per Purchased Share (equivalent to approximately C$3.36 per Purchased Share based on the daily exchange rate posted by the Bank of Canada on June 5,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approximately US$2.39 to US$2.52 (equivalent to approximately C$3.27 to C$3.44 based on the Exchange Rate) for an aggregate amount equal to US$3,580,455.63 (equivalent to approximately C$4,903,792.03 based on the Exchange Rate).</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46,370,162 Common Shares, representing approximately 11.63% of the issued and outstanding Common Shares. Following completion of the aforementioned acquisition, Riot beneficially owned 47,830,440 Common Shares, representing approximately 12.00% of the issued and outstanding Common Shares as at the date hereof.</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 currently intends to requisition a special meeting of the Company’s shareholders, at which Riot intends to nominate several well-qualified and independent directors to join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which follows from Riot’s serious concerns regarding the Board’s track record of poor corporate governance.</w:t>
      </w:r>
    </w:p>
    <w:p>
      <w:pPr>
        <w:spacing w:after="0" w:line="176"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any discussion between Riot, the Company and/or the Board and its advisors regarding Riot’s previously submitted non-binding proposal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the proposed requisition and/or the composition of the Board,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w:t>
      </w:r>
    </w:p>
    <w:p>
      <w:pPr>
        <w:spacing w:after="0" w:line="18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Company shareholders and others considering trading in Riot securities or Company securities that the Proposal referred to in this press release is non-binding, does not constitute and should not be construed as an offer or intention to make an offer directly to Company shareholders, and there can be no assurance that any definitive offer will be made by Riot, that the Company will accept any offer made by Riot, that any agreement will be entered into by Riot and the Company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the Company will accept any offer made by Riot; whether the Company will enter into discussions with Riot regarding the proposed combination of Riot and the Company; the outcome of any such discussions, including the possibility that the terms of any such combination will be materially different from those described herein; the conditions to the completion of any combination, including the receipt of Company shareholder approval and the receipt of all required regulatory approvals; the future performance, results of operations, liquidity and financial position of each of Riot, the Company and the company resulting from the combination of Riot and the Company; the possibility that the combined company may be unable to achieve expected synergies and operating efficiencies within the expected timeframes or at all; the integration of the Company’s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the Company.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relates to, among other things, a proposal that Riot has made for a business combination transaction with the Company. In furtherance of this proposal and subject to future developments, Riot (and, if applicable, the Company) may file one or more registration statements, prospectuses, management information circulars, proxy statements, proxy circulars, tender offers, takeover bid circulars or other documents with the SEC and applicable Canadian securities regulatory authorities. This press release is not a substitute for any registration statement, prospectus, management information circular, proxy statement, proxy circular, tender offer, takeover bid circular or other document (collectively,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Riot and/or the Company may file with the SEC and/or applicable Canadian securities regulatory authorities in connection with the proposed transaction. INVESTORS AND SECURITY HOLDERS OF RIOT AND THE COMPANY ARE URGED TO READ EACH REGULATORY FILING WHEN AND IF FILED BY RIOT AND/OR THE COMPANY WITH THE SEC AND/OR APPLICABLE CANADIAN SECURITIES REGULATORY AUTHORITIES CAREFULLY IN THEIR ENTIRETY IF AND WHEN THEY BECOME AVAILABLE AS THEY WILL CONTAIN IMPORTANT INFORMATION ABOUT RIOT, THE COMPANY, THE PROPOSED TRANSACTION AND RELATED MATTERS. Any proxy circular, takeover bid circular, management information circular, prospectus or other applicable Regulatory Filing (if and when filed) will be mailed to shareholders of the Company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press release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2024-06-06T15:35:04Z</dcterms:created>
  <dcterms:modified xsi:type="dcterms:W3CDTF">2024-06-06T15:35:04Z</dcterms:modified>
</cp:coreProperties>
</file>