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18,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REGISTRATION STATEMENT </w:t>
      </w: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7660" w:type="dxa"/>
            <w:vAlign w:val="bottom"/>
            <w:gridSpan w:val="5"/>
          </w:tcPr>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r>
              <w:rPr>
                <w:rFonts w:ascii="Times New Roman" w:cs="Times New Roman" w:eastAsia="Times New Roman" w:hAnsi="Times New Roman"/>
                <w:sz w:val="18"/>
                <w:szCs w:val="18"/>
                <w:color w:val="auto"/>
              </w:rPr>
              <w:t>)</w:t>
            </w:r>
          </w:p>
        </w:tc>
        <w:tc>
          <w:tcPr>
            <w:tcW w:w="3580" w:type="dxa"/>
            <w:vAlign w:val="bottom"/>
          </w:tcPr>
          <w:p>
            <w:pPr>
              <w:spacing w:after="0"/>
              <w:rPr>
                <w:sz w:val="20"/>
                <w:szCs w:val="20"/>
                <w:color w:val="auto"/>
              </w:rPr>
            </w:pPr>
          </w:p>
        </w:tc>
      </w:tr>
      <w:tr>
        <w:trPr>
          <w:trHeight w:val="201"/>
        </w:trPr>
        <w:tc>
          <w:tcPr>
            <w:tcW w:w="42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466"/>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6"/>
        </w:trPr>
        <w:tc>
          <w:tcPr>
            <w:tcW w:w="5520" w:type="dxa"/>
            <w:vAlign w:val="bottom"/>
            <w:tcBorders>
              <w:top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gridSpan w:val="2"/>
          </w:tcPr>
          <w:p>
            <w:pPr>
              <w:spacing w:after="0"/>
              <w:rPr>
                <w:sz w:val="17"/>
                <w:szCs w:val="17"/>
                <w:color w:val="auto"/>
              </w:rPr>
            </w:pPr>
          </w:p>
        </w:tc>
        <w:tc>
          <w:tcPr>
            <w:tcW w:w="3580" w:type="dxa"/>
            <w:vAlign w:val="bottom"/>
            <w:tcBorders>
              <w:top w:val="single" w:sz="8" w:color="auto"/>
            </w:tcBorders>
          </w:tcPr>
          <w:p>
            <w:pPr>
              <w:ind w:left="220"/>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 Employer</w:t>
            </w:r>
          </w:p>
        </w:tc>
      </w:tr>
      <w:tr>
        <w:trPr>
          <w:trHeight w:val="236"/>
        </w:trPr>
        <w:tc>
          <w:tcPr>
            <w:tcW w:w="766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r>
              <w:rPr>
                <w:rFonts w:ascii="Times New Roman" w:cs="Times New Roman" w:eastAsia="Times New Roman" w:hAnsi="Times New Roman"/>
                <w:sz w:val="18"/>
                <w:szCs w:val="18"/>
                <w:color w:val="auto"/>
                <w:w w:val="99"/>
              </w:rPr>
              <w:t>)</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rPr>
              <w:t>Identification No.</w:t>
            </w:r>
            <w:r>
              <w:rPr>
                <w:rFonts w:ascii="Times New Roman" w:cs="Times New Roman" w:eastAsia="Times New Roman" w:hAnsi="Times New Roman"/>
                <w:sz w:val="18"/>
                <w:szCs w:val="18"/>
                <w:color w:val="auto"/>
              </w:rPr>
              <w:t>)</w:t>
            </w:r>
          </w:p>
        </w:tc>
      </w:tr>
      <w:tr>
        <w:trPr>
          <w:trHeight w:val="410"/>
        </w:trPr>
        <w:tc>
          <w:tcPr>
            <w:tcW w:w="4220" w:type="dxa"/>
            <w:vAlign w:val="bottom"/>
          </w:tcPr>
          <w:p>
            <w:pPr>
              <w:spacing w:after="0"/>
              <w:rPr>
                <w:sz w:val="24"/>
                <w:szCs w:val="24"/>
                <w:color w:val="auto"/>
              </w:rPr>
            </w:pPr>
          </w:p>
        </w:tc>
        <w:tc>
          <w:tcPr>
            <w:tcW w:w="34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c>
          <w:tcPr>
            <w:tcW w:w="3580" w:type="dxa"/>
            <w:vAlign w:val="bottom"/>
          </w:tcPr>
          <w:p>
            <w:pPr>
              <w:spacing w:after="0"/>
              <w:rPr>
                <w:sz w:val="24"/>
                <w:szCs w:val="24"/>
                <w:color w:val="auto"/>
              </w:rPr>
            </w:pPr>
          </w:p>
        </w:tc>
      </w:tr>
      <w:tr>
        <w:trPr>
          <w:trHeight w:val="218"/>
        </w:trPr>
        <w:tc>
          <w:tcPr>
            <w:tcW w:w="4220" w:type="dxa"/>
            <w:vAlign w:val="bottom"/>
          </w:tcPr>
          <w:p>
            <w:pPr>
              <w:spacing w:after="0"/>
              <w:rPr>
                <w:sz w:val="18"/>
                <w:szCs w:val="18"/>
                <w:color w:val="auto"/>
              </w:rPr>
            </w:pPr>
          </w:p>
        </w:tc>
        <w:tc>
          <w:tcPr>
            <w:tcW w:w="34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Toronto, Ontario M5C 1T4</w:t>
            </w:r>
          </w:p>
        </w:tc>
        <w:tc>
          <w:tcPr>
            <w:tcW w:w="3580" w:type="dxa"/>
            <w:vAlign w:val="bottom"/>
          </w:tcPr>
          <w:p>
            <w:pPr>
              <w:spacing w:after="0"/>
              <w:rPr>
                <w:sz w:val="18"/>
                <w:szCs w:val="18"/>
                <w:color w:val="auto"/>
              </w:rPr>
            </w:pPr>
          </w:p>
        </w:tc>
      </w:tr>
      <w:tr>
        <w:trPr>
          <w:trHeight w:val="236"/>
        </w:trPr>
        <w:tc>
          <w:tcPr>
            <w:tcW w:w="7660" w:type="dxa"/>
            <w:vAlign w:val="bottom"/>
            <w:gridSpan w:val="5"/>
          </w:tcPr>
          <w:p>
            <w:pPr>
              <w:jc w:val="center"/>
              <w:ind w:left="34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Address of Principal Executive Offices</w:t>
            </w:r>
            <w:r>
              <w:rPr>
                <w:rFonts w:ascii="Times New Roman" w:cs="Times New Roman" w:eastAsia="Times New Roman" w:hAnsi="Times New Roman"/>
                <w:sz w:val="18"/>
                <w:szCs w:val="18"/>
                <w:color w:val="auto"/>
                <w:w w:val="99"/>
              </w:rPr>
              <w:t>) (</w:t>
            </w:r>
            <w:r>
              <w:rPr>
                <w:rFonts w:ascii="Times New Roman" w:cs="Times New Roman" w:eastAsia="Times New Roman" w:hAnsi="Times New Roman"/>
                <w:sz w:val="18"/>
                <w:szCs w:val="18"/>
                <w:i w:val="1"/>
                <w:iCs w:val="1"/>
                <w:color w:val="auto"/>
                <w:w w:val="99"/>
              </w:rPr>
              <w:t>Zip Code</w:t>
            </w:r>
            <w:r>
              <w:rPr>
                <w:rFonts w:ascii="Times New Roman" w:cs="Times New Roman" w:eastAsia="Times New Roman" w:hAnsi="Times New Roman"/>
                <w:sz w:val="18"/>
                <w:szCs w:val="18"/>
                <w:color w:val="auto"/>
                <w:w w:val="99"/>
              </w:rPr>
              <w:t>)</w:t>
            </w:r>
          </w:p>
        </w:tc>
        <w:tc>
          <w:tcPr>
            <w:tcW w:w="35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 Omnibus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title of the plans</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and address of agent for service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Telephone number, including area code, of agent for service</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Copy to</w:t>
            </w:r>
          </w:p>
        </w:tc>
      </w:tr>
      <w:tr>
        <w:trPr>
          <w:trHeight w:val="410"/>
        </w:trPr>
        <w:tc>
          <w:tcPr>
            <w:tcW w:w="38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Christopher M. Barlow</w:t>
            </w:r>
          </w:p>
        </w:tc>
        <w:tc>
          <w:tcPr>
            <w:tcW w:w="468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Jeffrey Lucas</w:t>
            </w:r>
          </w:p>
        </w:tc>
      </w:tr>
      <w:tr>
        <w:trPr>
          <w:trHeight w:val="216"/>
        </w:trPr>
        <w:tc>
          <w:tcPr>
            <w:tcW w:w="38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c>
          <w:tcPr>
            <w:tcW w:w="46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8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46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8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c>
          <w:tcPr>
            <w:tcW w:w="468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r>
      <w:tr>
        <w:trPr>
          <w:trHeight w:val="216"/>
        </w:trPr>
        <w:tc>
          <w:tcPr>
            <w:tcW w:w="38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(212) 735-3000</w:t>
            </w:r>
          </w:p>
        </w:tc>
        <w:tc>
          <w:tcPr>
            <w:tcW w:w="46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8"/>
              </w:rPr>
              <w:t>Toronto, ON M5C 1T4</w:t>
            </w:r>
          </w:p>
        </w:tc>
      </w:tr>
      <w:tr>
        <w:trPr>
          <w:trHeight w:val="238"/>
        </w:trPr>
        <w:tc>
          <w:tcPr>
            <w:tcW w:w="3840" w:type="dxa"/>
            <w:vAlign w:val="bottom"/>
          </w:tcPr>
          <w:p>
            <w:pPr>
              <w:spacing w:after="0"/>
              <w:rPr>
                <w:sz w:val="20"/>
                <w:szCs w:val="20"/>
                <w:color w:val="auto"/>
              </w:rPr>
            </w:pPr>
          </w:p>
        </w:tc>
        <w:tc>
          <w:tcPr>
            <w:tcW w:w="468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(647) 259-1790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color w:val="auto"/>
        </w:rPr>
        <w:t>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is filing this Registration Statement on Form S-8 to register up to 3,892,853 common shares of Bitfarms, no par value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issuable in connection with the Stronghold Digital Mining, Inc.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color w:val="auto"/>
        </w:rPr>
        <w:t>On August 21, 2024, the Company, Stronghold Digital Mining, Inc. (“</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 Backbone Mining Solutions LLC, an indirect, wholly-owned subsidiary of Bitfarms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and HPC &amp; AI Megacorp, Inc., a direct, wholly-owned subsidiary of BMS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entered into an Agreement and Plan of Merger, which was amended by amendment no. 1 thereto dated as of September 12, 2024 (as amended,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The Merger Agreement provides that, subject to the terms and conditions set forth therein, Merger Sub will merge with and into Stronghold, with Stronghold surviving the merger as an indirect, wholly-owned subsidiary of Bitfarms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and subject to the terms of the Merger Agreement, upon the occurrence of the Merger, the Registrant assumed the Plan in accordance with its terms, including certain time-based restricted stock units and stock options of Stronghold outstanding under the Plan (the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respectively), which the awards granted hereunder are payable in Common Shares, subject to the terms and conditions of the underlying award agreements. The aggregate number of the Common Shares subject to the Restricted Stock Units and Stock Options under the Plan is 1,890,302 shares. In addition, the Registrant has reserved 2,002,551 Common Shares, which constituted an unused share reserve under the Plan, that may be issued for future awards granted by the Registrant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in accordance with the provisions of Rule 428 under the Securities Act and the introductory note to Part I of Form S-8. The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containing the information specified in Part I of Form S-8 will be delivered to the participants in the equity benefit plans covered by this Registration Statement as specified by Rule 428(b)(1) under the Securities Act.</w:t>
      </w:r>
    </w:p>
    <w:p>
      <w:pPr>
        <w:spacing w:after="0" w:line="39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or excerpts thereof as indicated, filed by have been filed by the Company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are incorporated by reference into this Registration Statement:</w:t>
      </w:r>
    </w:p>
    <w:p>
      <w:pPr>
        <w:spacing w:after="0" w:line="162" w:lineRule="exact"/>
        <w:rPr>
          <w:sz w:val="20"/>
          <w:szCs w:val="20"/>
          <w:color w:val="auto"/>
        </w:rPr>
      </w:pPr>
    </w:p>
    <w:p>
      <w:pPr>
        <w:ind w:left="660" w:right="2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9">
        <w:r>
          <w:rPr>
            <w:rFonts w:ascii="Times New Roman" w:cs="Times New Roman" w:eastAsia="Times New Roman" w:hAnsi="Times New Roman"/>
            <w:sz w:val="18"/>
            <w:szCs w:val="18"/>
            <w:u w:val="single" w:color="auto"/>
            <w:color w:val="0000EE"/>
          </w:rPr>
          <w:t>Form 40-F</w:t>
        </w:r>
      </w:hyperlink>
      <w:r>
        <w:rPr>
          <w:rFonts w:ascii="Times New Roman" w:cs="Times New Roman" w:eastAsia="Times New Roman" w:hAnsi="Times New Roman"/>
          <w:sz w:val="18"/>
          <w:szCs w:val="18"/>
          <w:color w:val="auto"/>
        </w:rPr>
        <w:t xml:space="preserve">, as amended by </w:t>
      </w:r>
      <w:hyperlink r:id="rId19">
        <w:r>
          <w:rPr>
            <w:rFonts w:ascii="Times New Roman" w:cs="Times New Roman" w:eastAsia="Times New Roman" w:hAnsi="Times New Roman"/>
            <w:sz w:val="18"/>
            <w:szCs w:val="18"/>
            <w:u w:val="single" w:color="auto"/>
            <w:color w:val="0000EE"/>
          </w:rPr>
          <w:t>Amendment No. 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thereto, for the fiscal year ended December 31, 2023, filed with the Commission on December 9, 2024;</w:t>
      </w:r>
    </w:p>
    <w:p>
      <w:pPr>
        <w:spacing w:after="0" w:line="157" w:lineRule="exact"/>
        <w:rPr>
          <w:rFonts w:ascii="Times New Roman" w:cs="Times New Roman" w:eastAsia="Times New Roman" w:hAnsi="Times New Roman"/>
          <w:sz w:val="18"/>
          <w:szCs w:val="18"/>
          <w:color w:val="auto"/>
        </w:rPr>
      </w:pPr>
    </w:p>
    <w:p>
      <w:pPr>
        <w:ind w:left="660" w:right="30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since December 31, 2023; and</w:t>
      </w:r>
    </w:p>
    <w:p>
      <w:pPr>
        <w:spacing w:after="0" w:line="15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Company’s Common Shares included in the Company’s Registration Statement on Form 40-F, filed with the Commission on </w:t>
      </w:r>
      <w:hyperlink r:id="rId20">
        <w:r>
          <w:rPr>
            <w:rFonts w:ascii="Times New Roman" w:cs="Times New Roman" w:eastAsia="Times New Roman" w:hAnsi="Times New Roman"/>
            <w:sz w:val="18"/>
            <w:szCs w:val="18"/>
            <w:u w:val="single" w:color="auto"/>
            <w:color w:val="0000EE"/>
          </w:rPr>
          <w:t>April 28,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on</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 xml:space="preserve">June 16, 2021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001-40370), including any amendment thereto filed with the Commission for the purpose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updating such description.</w:t>
      </w:r>
    </w:p>
    <w:p>
      <w:pPr>
        <w:spacing w:after="0" w:line="176" w:lineRule="exact"/>
        <w:rPr>
          <w:rFonts w:ascii="Times New Roman" w:cs="Times New Roman" w:eastAsia="Times New Roman" w:hAnsi="Times New Roman"/>
          <w:sz w:val="18"/>
          <w:szCs w:val="18"/>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which indicates that all securities offered hereby have been sold or which deregisters all securities offered hereby then remaining unsold, shall be deemed to be incorporated by reference herein and shall be deemed to be a part hereof from the date of the filing of such documents. In addition, any Report on Form 6-K of the Company hereafter furnished to the Commission pursuant to the Exchange Act shall be incorporated by reference into this Registration Statement if and to the extent provided in such document.</w:t>
      </w:r>
    </w:p>
    <w:p>
      <w:pPr>
        <w:spacing w:after="0" w:line="17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5" w:lineRule="exact"/>
        <w:rPr>
          <w:rFonts w:ascii="Times New Roman" w:cs="Times New Roman" w:eastAsia="Times New Roman" w:hAnsi="Times New Roman"/>
          <w:sz w:val="18"/>
          <w:szCs w:val="18"/>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Section 136 of the Business Corporations Act (Ontario)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provides for the indemnification of directors and officers of the Registrant. Under these provisions, the Registrant may indemnify a director or officer of the Registrant, a former director or officer, and may indemnify an individual who acts or acted at the Registrant’s request as a director or officer or in a similar capacity of another entity (each, an “Indemnified Person”)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the Registrant to procure a judgment in its favor) in which the individual is involved because of that association with the Registrant or other entity, if the Indemnified Person fulfills the following two conditions: (a) he or she acted honestly and in good faith with a view to the best interests of the Registrant or in the best interests of such other entity as applicable and (b) in the case of a criminal or administrative action or proceeding that is enforced by a monetary penalty, he or she had reasonable grounds for believing that his or her conduct was lawful.</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respect of an action by or on behalf of the Registrant or such other entity to procure a judgment in its favor, the Registrant,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indemnification from the Registrant in respect of all costs, charges and expenses reasonably incurred by him or her in connection with the defense of any civil, criminal, administrative, investigative or other proceeding to which he or she is made a party by reason of his or her association with the Registrant or such other entity if he or she fulfills the conditions in clauses (a) and (b) of this paragraph and was not judged by the court or other competent authority to have committed any fault or omitted to do anything that the individual ought to have done.</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the OBCA, the by-laws of the Registrant provide that the Registrant shall indemnify a director or officer of the Registrant, a former director or officer of the Registrant or another individual who acts or acted at the Registrant’s request as a director or officer, or an individual acting in a similar capacity, of another entity, against all costs, charges and expenses, including an amount paid to settle an action or satisfy a judgment, reasonably incurred by such person in respect of any civil, criminal, administrative or investigative action or other proceeding in which the individual is involved because of that association with the Registrant or other entity if the individual: (i) acted honestly and in good faith with a view to the best interests of the Registrant or in the best interests of such other entity as applicable; and (ii) in the case of a criminal or administrative action or proceeding that is enforced by a monetary penalty, had reasonable grounds for believing that the conduct was lawful.</w:t>
      </w:r>
    </w:p>
    <w:p>
      <w:pPr>
        <w:spacing w:after="0" w:line="189" w:lineRule="exact"/>
        <w:rPr>
          <w:sz w:val="20"/>
          <w:szCs w:val="20"/>
          <w:color w:val="auto"/>
        </w:rPr>
      </w:pPr>
    </w:p>
    <w:p>
      <w:pPr>
        <w:ind w:right="360" w:firstLine="324"/>
        <w:spacing w:after="0" w:line="312" w:lineRule="auto"/>
        <w:rPr>
          <w:sz w:val="20"/>
          <w:szCs w:val="20"/>
          <w:color w:val="auto"/>
        </w:rPr>
      </w:pPr>
      <w:r>
        <w:rPr>
          <w:rFonts w:ascii="Times New Roman" w:cs="Times New Roman" w:eastAsia="Times New Roman" w:hAnsi="Times New Roman"/>
          <w:sz w:val="17"/>
          <w:szCs w:val="17"/>
          <w:color w:val="auto"/>
        </w:rPr>
        <w:t>A policy of directors’ and officers’ liability insurance is maintained by the Registrant that insures directors and officers against losses incurred as a result of claims against the directors and officers of the Registrant pursuant to the indemnity provisions under the Registrant’s articles and the OBCA.</w:t>
      </w:r>
    </w:p>
    <w:p>
      <w:pPr>
        <w:spacing w:after="0" w:line="14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Articles of Bitfarms Ltd.</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tcPr>
          <w:p>
            <w:pPr>
              <w:spacing w:after="0"/>
              <w:rPr>
                <w:sz w:val="15"/>
                <w:szCs w:val="15"/>
                <w:color w:val="auto"/>
              </w:rPr>
            </w:pPr>
          </w:p>
        </w:tc>
        <w:tc>
          <w:tcPr>
            <w:tcW w:w="178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Bylaws of Bitfarms Ltd.</w:t>
            </w:r>
          </w:p>
        </w:tc>
        <w:tc>
          <w:tcPr>
            <w:tcW w:w="8320" w:type="dxa"/>
            <w:vAlign w:val="bottom"/>
            <w:tcBorders>
              <w:top w:val="single" w:sz="8" w:color="CCEEFF"/>
            </w:tcBorders>
            <w:gridSpan w:val="8"/>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Stronghold Digital Mining, Inc. Omnibus Incentive Plan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Amendment No. 1 to the Stronghold Digital Mining, Inc. Omnibus Incentive Plan</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59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Amendment No. 2 to the Stronghold Digital Mining, Inc. Omnibus Incentive Plan</w:t>
            </w:r>
          </w:p>
        </w:tc>
        <w:tc>
          <w:tcPr>
            <w:tcW w:w="420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Amendment No. 3 to the Stronghold Digital Mining, Inc. Omnibus Incentive Plan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Shareholder Rights Plan Agreement, dated as of July 24, 2024, between the Registrant and the TSX Trust Company, as Rights Agent</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tcPr>
          <w:p>
            <w:pPr>
              <w:spacing w:after="0"/>
              <w:rPr>
                <w:sz w:val="15"/>
                <w:szCs w:val="15"/>
                <w:color w:val="auto"/>
              </w:rPr>
            </w:pPr>
          </w:p>
        </w:tc>
        <w:tc>
          <w:tcPr>
            <w:tcW w:w="95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Opinion of Peterson McVicar LLP</w:t>
            </w:r>
          </w:p>
        </w:tc>
        <w:tc>
          <w:tcPr>
            <w:tcW w:w="54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Peterson McVicar LLP (included in Exhibit 5.1 to this Registration Statement)</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tcPr>
          <w:p>
            <w:pPr>
              <w:spacing w:after="0"/>
              <w:rPr>
                <w:sz w:val="15"/>
                <w:szCs w:val="15"/>
                <w:color w:val="auto"/>
              </w:rPr>
            </w:pPr>
          </w:p>
        </w:tc>
        <w:tc>
          <w:tcPr>
            <w:tcW w:w="64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c>
          <w:tcPr>
            <w:tcW w:w="3620" w:type="dxa"/>
            <w:vAlign w:val="bottom"/>
            <w:tcBorders>
              <w:top w:val="single" w:sz="8" w:color="CCEEFF"/>
            </w:tcBorders>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page II-4 of this Registration Statement)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bl>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980" w:right="180" w:firstLine="324"/>
        <w:spacing w:after="0" w:line="266" w:lineRule="auto"/>
        <w:tabs>
          <w:tab w:leader="none" w:pos="15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Times New Roman" w:cs="Times New Roman" w:eastAsia="Times New Roman" w:hAnsi="Times New Roman"/>
          <w:sz w:val="18"/>
          <w:szCs w:val="18"/>
          <w:color w:val="auto"/>
        </w:rPr>
      </w:pPr>
    </w:p>
    <w:p>
      <w:pPr>
        <w:ind w:left="980" w:right="100" w:firstLine="324"/>
        <w:spacing w:after="0" w:line="282" w:lineRule="auto"/>
        <w:tabs>
          <w:tab w:leader="none" w:pos="1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980"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left="980" w:right="20" w:firstLine="324"/>
        <w:spacing w:after="0" w:line="266" w:lineRule="auto"/>
        <w:tabs>
          <w:tab w:leader="none" w:pos="15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firstLine="324"/>
        <w:spacing w:after="0" w:line="282" w:lineRule="auto"/>
        <w:tabs>
          <w:tab w:leader="none" w:pos="15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980" w:right="200" w:firstLine="324"/>
        <w:spacing w:after="0" w:line="258" w:lineRule="auto"/>
        <w:tabs>
          <w:tab w:leader="none" w:pos="15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980" w:right="20" w:firstLine="324"/>
        <w:spacing w:after="0" w:line="255" w:lineRule="auto"/>
        <w:tabs>
          <w:tab w:leader="none" w:pos="15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Insofar as indemnification for liabilities arising under the Securities Act may be permitted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Toronto, Province of Ontario, Country of Canada, on March 18,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56"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authorizes Benjamin Gagnon and Jeffrey Lucas as his or her attorney in fact and agent, with full power of substitution and resubstitution, to execute, in his or her name and on his or her behalf, in any and all capacities, this Registration Statement on Form S-8 and any amendment thereto (and any additional Registration Statement related thereto permitted by Rule 462(b) promulgated under the Securities Act of 1933 (and all further amendments including post-effective amendments thereto)) necessary or advisable to enable the Registrant to comply with the Securities Act of 1933, and any rules, regulations and requirements of the Securities and Exchange Commission, in respect thereof, in connection with the registration of the securities which are the subject of such Registration Statement, which amendments may make such changes in such Registration Statement as such attorney may deem appropriate, and with full power and authority to perform and do any and all acts and things whatsoever which any such attorney or substitute may deem necessary or advisable to be performed or done in connection with any or all of the above-described matters, as fully as each of the undersigned could do if personally present and acting, hereby ratifying and approving all acts of any such attorney or substitute.</w:t>
      </w:r>
    </w:p>
    <w:p>
      <w:pPr>
        <w:spacing w:after="0" w:line="19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2"/>
                <w:szCs w:val="22"/>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Benjamin Gagnon</w:t>
            </w:r>
          </w:p>
        </w:tc>
        <w:tc>
          <w:tcPr>
            <w:tcW w:w="240" w:type="dxa"/>
            <w:vAlign w:val="bottom"/>
          </w:tcPr>
          <w:p>
            <w:pPr>
              <w:spacing w:after="0"/>
              <w:rPr>
                <w:sz w:val="24"/>
                <w:szCs w:val="24"/>
                <w:color w:val="auto"/>
              </w:rPr>
            </w:pPr>
          </w:p>
        </w:tc>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Benjamin Gagnon</w:t>
            </w:r>
          </w:p>
        </w:tc>
        <w:tc>
          <w:tcPr>
            <w:tcW w:w="240" w:type="dxa"/>
            <w:vAlign w:val="bottom"/>
          </w:tcPr>
          <w:p>
            <w:pPr>
              <w:spacing w:after="0"/>
              <w:rPr>
                <w:sz w:val="20"/>
                <w:szCs w:val="20"/>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P. Lucas</w:t>
            </w:r>
          </w:p>
        </w:tc>
        <w:tc>
          <w:tcPr>
            <w:tcW w:w="240" w:type="dxa"/>
            <w:vAlign w:val="bottom"/>
          </w:tcPr>
          <w:p>
            <w:pPr>
              <w:spacing w:after="0"/>
              <w:rPr>
                <w:sz w:val="24"/>
                <w:szCs w:val="24"/>
                <w:color w:val="auto"/>
              </w:rPr>
            </w:pPr>
          </w:p>
        </w:tc>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Jeffrey P. Lucas</w:t>
            </w:r>
          </w:p>
        </w:tc>
        <w:tc>
          <w:tcPr>
            <w:tcW w:w="240" w:type="dxa"/>
            <w:vAlign w:val="bottom"/>
          </w:tcPr>
          <w:p>
            <w:pPr>
              <w:spacing w:after="0"/>
              <w:rPr>
                <w:sz w:val="20"/>
                <w:szCs w:val="20"/>
                <w:color w:val="auto"/>
              </w:rPr>
            </w:pPr>
          </w:p>
        </w:tc>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Howlett</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Independent Chairman</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95"/>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Brian Howlett</w:t>
            </w:r>
          </w:p>
        </w:tc>
        <w:tc>
          <w:tcPr>
            <w:tcW w:w="240" w:type="dxa"/>
            <w:vAlign w:val="bottom"/>
          </w:tcPr>
          <w:p>
            <w:pPr>
              <w:spacing w:after="0"/>
              <w:rPr>
                <w:sz w:val="8"/>
                <w:szCs w:val="8"/>
                <w:color w:val="auto"/>
              </w:rPr>
            </w:pPr>
          </w:p>
        </w:tc>
        <w:tc>
          <w:tcPr>
            <w:tcW w:w="4240" w:type="dxa"/>
            <w:vAlign w:val="bottom"/>
            <w:gridSpan w:val="2"/>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Chang</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95"/>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Andrew Chang</w:t>
            </w:r>
          </w:p>
        </w:tc>
        <w:tc>
          <w:tcPr>
            <w:tcW w:w="240" w:type="dxa"/>
            <w:vAlign w:val="bottom"/>
          </w:tcPr>
          <w:p>
            <w:pPr>
              <w:spacing w:after="0"/>
              <w:rPr>
                <w:sz w:val="8"/>
                <w:szCs w:val="8"/>
                <w:color w:val="auto"/>
              </w:rPr>
            </w:pPr>
          </w:p>
        </w:tc>
        <w:tc>
          <w:tcPr>
            <w:tcW w:w="4240" w:type="dxa"/>
            <w:vAlign w:val="bottom"/>
            <w:gridSpan w:val="2"/>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Amy Freedman</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95"/>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Amy Freedman</w:t>
            </w:r>
          </w:p>
        </w:tc>
        <w:tc>
          <w:tcPr>
            <w:tcW w:w="240" w:type="dxa"/>
            <w:vAlign w:val="bottom"/>
          </w:tcPr>
          <w:p>
            <w:pPr>
              <w:spacing w:after="0"/>
              <w:rPr>
                <w:sz w:val="8"/>
                <w:szCs w:val="8"/>
                <w:color w:val="auto"/>
              </w:rPr>
            </w:pPr>
          </w:p>
        </w:tc>
        <w:tc>
          <w:tcPr>
            <w:tcW w:w="4240" w:type="dxa"/>
            <w:vAlign w:val="bottom"/>
            <w:gridSpan w:val="2"/>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Edith M. Hofmeister</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95"/>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Edit M. Hofmeister</w:t>
            </w:r>
          </w:p>
        </w:tc>
        <w:tc>
          <w:tcPr>
            <w:tcW w:w="240" w:type="dxa"/>
            <w:vAlign w:val="bottom"/>
          </w:tcPr>
          <w:p>
            <w:pPr>
              <w:spacing w:after="0"/>
              <w:rPr>
                <w:sz w:val="8"/>
                <w:szCs w:val="8"/>
                <w:color w:val="auto"/>
              </w:rPr>
            </w:pPr>
          </w:p>
        </w:tc>
        <w:tc>
          <w:tcPr>
            <w:tcW w:w="4240" w:type="dxa"/>
            <w:vAlign w:val="bottom"/>
            <w:gridSpan w:val="2"/>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Fanny Philip</w:t>
            </w:r>
          </w:p>
        </w:tc>
        <w:tc>
          <w:tcPr>
            <w:tcW w:w="240" w:type="dxa"/>
            <w:vAlign w:val="bottom"/>
          </w:tcPr>
          <w:p>
            <w:pPr>
              <w:spacing w:after="0"/>
              <w:rPr>
                <w:sz w:val="24"/>
                <w:szCs w:val="24"/>
                <w:color w:val="auto"/>
              </w:rPr>
            </w:pPr>
          </w:p>
        </w:tc>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2025</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Fanny Philip</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8"/>
                <w:szCs w:val="18"/>
                <w:color w:val="auto"/>
              </w:rPr>
              <w:t>II-4</w:t>
            </w: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the undersigned has signed this Registration Statement, solely in its capacity as the duly authorized representative of the Registrant in the United States, on March 18,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Sr. Vice President on behalf of Cogency Global Inc.</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8" w:name="page9"/>
    <w:bookmarkEnd w:id="8"/>
    <w:p>
      <w:pPr>
        <w:ind w:left="912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46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4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by-law relating generally to the conduct of the business and affairs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 O N T E N T S</w:t>
      </w:r>
    </w:p>
    <w:p>
      <w:pPr>
        <w:spacing w:after="0" w:line="229" w:lineRule="exact"/>
        <w:rPr>
          <w:sz w:val="20"/>
          <w:szCs w:val="20"/>
          <w:color w:val="auto"/>
        </w:rPr>
      </w:pPr>
    </w:p>
    <w:p>
      <w:pPr>
        <w:ind w:left="240"/>
        <w:spacing w:after="0"/>
        <w:tabs>
          <w:tab w:leader="none" w:pos="1020" w:val="left"/>
          <w:tab w:leader="none" w:pos="1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40" w:hanging="803"/>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040" w:hanging="80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Meetings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040" w:hanging="80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Directors, Officers and Others</w:t>
      </w:r>
    </w:p>
    <w:p>
      <w:pPr>
        <w:spacing w:after="0" w:line="27" w:lineRule="exact"/>
        <w:rPr>
          <w:rFonts w:ascii="Times New Roman" w:cs="Times New Roman" w:eastAsia="Times New Roman" w:hAnsi="Times New Roman"/>
          <w:sz w:val="18"/>
          <w:szCs w:val="18"/>
          <w:color w:val="auto"/>
        </w:rPr>
      </w:pPr>
    </w:p>
    <w:p>
      <w:pPr>
        <w:ind w:left="1040" w:hanging="80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w:t>
            </w:r>
          </w:p>
        </w:tc>
      </w:tr>
      <w:tr>
        <w:trPr>
          <w:trHeight w:val="218"/>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40" w:hanging="803"/>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BE IT ENACTED </w:t>
      </w:r>
      <w:r>
        <w:rPr>
          <w:rFonts w:ascii="Times New Roman" w:cs="Times New Roman" w:eastAsia="Times New Roman" w:hAnsi="Times New Roman"/>
          <w:sz w:val="18"/>
          <w:szCs w:val="18"/>
          <w:color w:val="auto"/>
        </w:rPr>
        <w:t>as a by-law of Bitfarms Ltd. as follows:</w:t>
      </w:r>
    </w:p>
    <w:p>
      <w:pPr>
        <w:spacing w:after="0" w:line="225" w:lineRule="exact"/>
        <w:rPr>
          <w:sz w:val="20"/>
          <w:szCs w:val="20"/>
          <w:color w:val="auto"/>
        </w:rPr>
      </w:pPr>
    </w:p>
    <w:p>
      <w:pPr>
        <w:ind w:left="4900" w:hanging="172"/>
        <w:spacing w:after="0"/>
        <w:tabs>
          <w:tab w:leader="none" w:pos="49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 In this by-law and all other by-laws and resolutions of the Corporation, unless the context otherwise requires:</w:t>
      </w:r>
    </w:p>
    <w:p>
      <w:pPr>
        <w:spacing w:after="0" w:line="223"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i w:val="1"/>
          <w:iCs w:val="1"/>
          <w:color w:val="auto"/>
        </w:rPr>
        <w:t xml:space="preserve"> Business Corporations Act </w:t>
      </w:r>
      <w:r>
        <w:rPr>
          <w:rFonts w:ascii="Times New Roman" w:cs="Times New Roman" w:eastAsia="Times New Roman" w:hAnsi="Times New Roman"/>
          <w:sz w:val="18"/>
          <w:szCs w:val="18"/>
          <w:color w:val="auto"/>
        </w:rPr>
        <w:t>(Ontario), including the Regulations made pursuant thereto, and any statute or regulations substituted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“appoint” </w:t>
      </w:r>
      <w:r>
        <w:rPr>
          <w:rFonts w:ascii="Times New Roman" w:cs="Times New Roman" w:eastAsia="Times New Roman" w:hAnsi="Times New Roman"/>
          <w:sz w:val="18"/>
          <w:szCs w:val="18"/>
          <w:color w:val="auto"/>
        </w:rPr>
        <w:t>includes “elect”, and</w:t>
      </w:r>
      <w:r>
        <w:rPr>
          <w:rFonts w:ascii="Times New Roman" w:cs="Times New Roman" w:eastAsia="Times New Roman" w:hAnsi="Times New Roman"/>
          <w:sz w:val="18"/>
          <w:szCs w:val="18"/>
          <w:i w:val="1"/>
          <w:iCs w:val="1"/>
          <w:color w:val="auto"/>
        </w:rPr>
        <w:t xml:space="preserve"> vice versa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“articles” </w:t>
      </w:r>
      <w:r>
        <w:rPr>
          <w:rFonts w:ascii="Times New Roman" w:cs="Times New Roman" w:eastAsia="Times New Roman" w:hAnsi="Times New Roman"/>
          <w:sz w:val="18"/>
          <w:szCs w:val="18"/>
          <w:color w:val="auto"/>
        </w:rPr>
        <w:t>means the Articles of Incorporation and/or other constating documents of the Corporation as amended or restated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Corporation and</w:t>
      </w:r>
      <w:r>
        <w:rPr>
          <w:rFonts w:ascii="Times New Roman" w:cs="Times New Roman" w:eastAsia="Times New Roman" w:hAnsi="Times New Roman"/>
          <w:sz w:val="18"/>
          <w:szCs w:val="18"/>
          <w:i w:val="1"/>
          <w:iCs w:val="1"/>
          <w:color w:val="auto"/>
        </w:rPr>
        <w:t xml:space="preserve"> “director” </w:t>
      </w:r>
      <w:r>
        <w:rPr>
          <w:rFonts w:ascii="Times New Roman" w:cs="Times New Roman" w:eastAsia="Times New Roman" w:hAnsi="Times New Roman"/>
          <w:sz w:val="18"/>
          <w:szCs w:val="18"/>
          <w:color w:val="auto"/>
        </w:rPr>
        <w:t>means a member of the board;</w:t>
      </w:r>
    </w:p>
    <w:p>
      <w:pPr>
        <w:spacing w:after="0" w:line="225"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“by-laws” </w:t>
      </w:r>
      <w:r>
        <w:rPr>
          <w:rFonts w:ascii="Times New Roman" w:cs="Times New Roman" w:eastAsia="Times New Roman" w:hAnsi="Times New Roman"/>
          <w:sz w:val="18"/>
          <w:szCs w:val="18"/>
          <w:color w:val="auto"/>
        </w:rPr>
        <w:t>means this by-law and all other by-laws, including special by-laws, of the Corporation as amended from time to time and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in force and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“Corporation” </w:t>
      </w:r>
      <w:r>
        <w:rPr>
          <w:rFonts w:ascii="Times New Roman" w:cs="Times New Roman" w:eastAsia="Times New Roman" w:hAnsi="Times New Roman"/>
          <w:sz w:val="18"/>
          <w:szCs w:val="18"/>
          <w:color w:val="auto"/>
        </w:rPr>
        <w:t>means this Corporation, being the corporation to which the Articles pertain, and named “Bitfarms Ltd.”;</w:t>
      </w:r>
    </w:p>
    <w:p>
      <w:pPr>
        <w:spacing w:after="0" w:line="225" w:lineRule="exact"/>
        <w:rPr>
          <w:sz w:val="20"/>
          <w:szCs w:val="20"/>
          <w:color w:val="auto"/>
        </w:rPr>
      </w:pPr>
    </w:p>
    <w:p>
      <w:pPr>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“meeting of shareholders” </w:t>
      </w:r>
      <w:r>
        <w:rPr>
          <w:rFonts w:ascii="Times New Roman" w:cs="Times New Roman" w:eastAsia="Times New Roman" w:hAnsi="Times New Roman"/>
          <w:sz w:val="18"/>
          <w:szCs w:val="18"/>
          <w:color w:val="auto"/>
        </w:rPr>
        <w:t>includes an annual meeting of shareholders and a special meeting of shareholders;</w:t>
      </w:r>
      <w:r>
        <w:rPr>
          <w:rFonts w:ascii="Times New Roman" w:cs="Times New Roman" w:eastAsia="Times New Roman" w:hAnsi="Times New Roman"/>
          <w:sz w:val="18"/>
          <w:szCs w:val="18"/>
          <w:i w:val="1"/>
          <w:iCs w:val="1"/>
          <w:color w:val="auto"/>
        </w:rPr>
        <w:t xml:space="preserve"> “special meeting of shareholders” </w:t>
      </w:r>
      <w:r>
        <w:rPr>
          <w:rFonts w:ascii="Times New Roman" w:cs="Times New Roman" w:eastAsia="Times New Roman" w:hAnsi="Times New Roman"/>
          <w:sz w:val="18"/>
          <w:szCs w:val="18"/>
          <w:color w:val="auto"/>
        </w:rPr>
        <w:t>means a special meeting of all shareholders entitled to vote at an annual meeting of shareholders and a meeting of any class or classes of shareholders entitled to vote on the question at issue;</w:t>
      </w:r>
    </w:p>
    <w:p>
      <w:pPr>
        <w:spacing w:after="0" w:line="17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“recorded address” </w:t>
      </w:r>
      <w:r>
        <w:rPr>
          <w:rFonts w:ascii="Times New Roman" w:cs="Times New Roman" w:eastAsia="Times New Roman" w:hAnsi="Times New Roman"/>
          <w:sz w:val="18"/>
          <w:szCs w:val="18"/>
          <w:color w:val="auto"/>
        </w:rPr>
        <w:t>means, in the case of a shareholder, his address as recorded in the shareholders’ register; and in the case of joint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address appearing in the shareholders’ register in respect of such joint holding or the first address so appearing if there is more than one; in the case of a director, officer, auditor or member of a committee of the board, his latest address as shown in the records of the Corporation or in the most recent notice filed under the </w:t>
      </w:r>
      <w:r>
        <w:rPr>
          <w:rFonts w:ascii="Times New Roman" w:cs="Times New Roman" w:eastAsia="Times New Roman" w:hAnsi="Times New Roman"/>
          <w:sz w:val="18"/>
          <w:szCs w:val="18"/>
          <w:i w:val="1"/>
          <w:iCs w:val="1"/>
          <w:color w:val="auto"/>
        </w:rPr>
        <w:t>Corporations Information Act</w:t>
      </w:r>
      <w:r>
        <w:rPr>
          <w:rFonts w:ascii="Times New Roman" w:cs="Times New Roman" w:eastAsia="Times New Roman" w:hAnsi="Times New Roman"/>
          <w:sz w:val="18"/>
          <w:szCs w:val="18"/>
          <w:color w:val="auto"/>
        </w:rPr>
        <w:t>, whichever is the more current. The secretary may change or cause to be changed the recorded address of any person in accordance with any information believed by him to be reliable.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 In the interpretation of this by-law, unless the context otherwise requires, the following rules shall apply:</w:t>
      </w:r>
    </w:p>
    <w:p>
      <w:pPr>
        <w:spacing w:after="0" w:line="225" w:lineRule="exact"/>
        <w:rPr>
          <w:sz w:val="20"/>
          <w:szCs w:val="20"/>
          <w:color w:val="auto"/>
        </w:rPr>
      </w:pPr>
    </w:p>
    <w:p>
      <w:pPr>
        <w:ind w:left="660" w:right="3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specifically defined herein, words, terms and expressions appearing in this by-law, including the terms “resident Canadian” and “unanimous shareholder agreement” shall have the meaning ascribed to them under the Act;</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Words importing the singular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gender include the masculine, feminine and neuter genders;</w:t>
      </w:r>
    </w:p>
    <w:p>
      <w:pPr>
        <w:spacing w:after="0" w:line="225" w:lineRule="exact"/>
        <w:rPr>
          <w:rFonts w:ascii="Times New Roman" w:cs="Times New Roman" w:eastAsia="Times New Roman" w:hAnsi="Times New Roman"/>
          <w:sz w:val="18"/>
          <w:szCs w:val="18"/>
          <w:color w:val="auto"/>
        </w:rPr>
      </w:pPr>
    </w:p>
    <w:p>
      <w:pPr>
        <w:jc w:val="both"/>
        <w:ind w:left="660" w:right="7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 person include an individual, sole proprietorship, partnership, unincorporated association, unincorporated syndicate, unincorporated organization, trust, body corporate, and a natural person in his capacity as trustee, executor, administrator, or other legal representative.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1" w:name="page32"/>
    <w:bookmarkEnd w:id="31"/>
    <w:p>
      <w:pPr>
        <w:ind w:left="4360" w:hanging="189"/>
        <w:spacing w:after="0"/>
        <w:tabs>
          <w:tab w:leader="none" w:pos="4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BUSINESS MATTERS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xml:space="preserve"> - The shareholders may, by special resolution, from time to time change the municipality or geographic township within Ontario in which the registered office of the Corporation shall be located, but unless and until such special resolution has been passed, the registered office shall be where initially specified in the articles. The directors shall from time to time fix the location of the registered office within such municipality or geographic township.</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xml:space="preserve"> - The Corporation may, but need not, have a corporate seal; if adopted, such seal shall be in the form approved from time to time by the board.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 Unless and until another date has been effectively determined, the fiscal year or financial year of the Corporation shall end on December 31st in each year.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Execution of Documents</w:t>
      </w:r>
      <w:r>
        <w:rPr>
          <w:rFonts w:ascii="Times New Roman" w:cs="Times New Roman" w:eastAsia="Times New Roman" w:hAnsi="Times New Roman"/>
          <w:sz w:val="18"/>
          <w:szCs w:val="18"/>
          <w:color w:val="auto"/>
        </w:rPr>
        <w:t xml:space="preserve"> - Deeds, transfers, assignments, contracts, obligations and other instruments in writing requiring execution by the Corporation may be signed by any one officer or director.</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board may from time to time direct the manner in which and the person or persons by whom a particular document or class of documents shall be executed. Any person authorized to sign any document may affix the corporate seal thereto.</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Banking</w:t>
      </w:r>
      <w:r>
        <w:rPr>
          <w:rFonts w:ascii="Times New Roman" w:cs="Times New Roman" w:eastAsia="Times New Roman" w:hAnsi="Times New Roman"/>
          <w:sz w:val="18"/>
          <w:szCs w:val="18"/>
          <w:color w:val="auto"/>
        </w:rPr>
        <w:t xml:space="preserve"> - All matters pertaining to the banking of the Corporation shall be transacted with such banks, trust companies or other financial organizations as the board may designate or authorize from time to time. All such banking business shall be transacted on behalf of the Corporation pursuant to such agreements, instructions and delegations of powers as may, from time to time, be prescribed by the board.</w:t>
      </w:r>
    </w:p>
    <w:p>
      <w:pPr>
        <w:spacing w:after="0" w:line="172" w:lineRule="exact"/>
        <w:rPr>
          <w:sz w:val="20"/>
          <w:szCs w:val="20"/>
          <w:color w:val="auto"/>
        </w:rPr>
      </w:pPr>
    </w:p>
    <w:p>
      <w:pPr>
        <w:ind w:left="5180" w:hanging="179"/>
        <w:spacing w:after="0"/>
        <w:tabs>
          <w:tab w:leader="none" w:pos="5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xml:space="preserve"> - Subject to the express provisions of a unanimous shareholder agreement, the directors shall manage or supervise the management of the business and affairs of the Corporation.</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Transaction of Business</w:t>
      </w:r>
      <w:r>
        <w:rPr>
          <w:rFonts w:ascii="Times New Roman" w:cs="Times New Roman" w:eastAsia="Times New Roman" w:hAnsi="Times New Roman"/>
          <w:sz w:val="18"/>
          <w:szCs w:val="18"/>
          <w:color w:val="auto"/>
        </w:rPr>
        <w:t xml:space="preserve"> - Business may be transacted by resolutions passed at meetings of directors or committees of directors at which a quorum is present or by resolution in writing, signed by all the directors entitled to vote on that resolution at a meeting of directors or a committee of directors. A copy of every such resolution in writing shall be kept with the minutes of the proceedings of the directors or committee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 Until changed in accordance with the Act, the board shall consist of that number of directors, being a minimum of one (1) and a maximum of ten (10), as determined from time to time by special resolution or, if the special resolution empowers the directors to determine the number, by resolution of the board.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xml:space="preserve"> - Each director shall be an individual who is not less than 18 years of age. No person who is of unsound mind and has been so found by a court in Canada or elsewhere or who has the status of a bankrupt shall be a director. If a director acquires the status of a bankrupt or becomes of unsound mind and is so found, he shall thereupon cease to be a director. A director need not be a shareholder.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Election and Term</w:t>
      </w:r>
      <w:r>
        <w:rPr>
          <w:rFonts w:ascii="Times New Roman" w:cs="Times New Roman" w:eastAsia="Times New Roman" w:hAnsi="Times New Roman"/>
          <w:sz w:val="18"/>
          <w:szCs w:val="18"/>
          <w:color w:val="auto"/>
        </w:rPr>
        <w:t xml:space="preserve"> - The election of directors shall take place at the first meeting of shareholders and at each annual meeting of shareholders and all the directors then in office shall retire, but, if qualified, shall be eligible for re-election. The number of directors to be elected at any such meeting shall be the number of directors then in office unless the directors or shareholders shall have otherwise determined in accordance with the Act. Where the shareholders adopt an amendment to the articles to increase the number or minimum number of directors, the shareholders may, at the meeting at which they adopt the amendment, elect the additional number of directors authorized by the amendment. The election shall be by resolution. If an election of directors is not held at the proper time, the incumbent directors shall continue in office until their successors are elected.</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 A director who is not named in the articles may resign from office upon being giving a written resignation to the Corporation and such resignation becomes effective when received by the Corporation or at the time specified in the resignation, whichever is later. A director named in the articles shall not be permitted to resign his office unless at the time the resignation is to become effective a successor is elected or appointed.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 Subject to the provisions of the Act, the shareholders may, by ordinary resolution passed at an annual or special meeting of shareholders, remove any director from office before the expiration of his term and may elect a qualified individual to fill the resulting vacancy for the remainder of the term of the director so removed, failing which such vacancy may be filled by the board. Notice of intention to pass such resolution shall be given in the notice calling the meeting.</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Vacation of office</w:t>
      </w:r>
      <w:r>
        <w:rPr>
          <w:rFonts w:ascii="Times New Roman" w:cs="Times New Roman" w:eastAsia="Times New Roman" w:hAnsi="Times New Roman"/>
          <w:sz w:val="18"/>
          <w:szCs w:val="18"/>
          <w:color w:val="auto"/>
        </w:rPr>
        <w:t xml:space="preserve"> - A director ceases to hold office when he dies, resigns, is removed from office by the shareholders, or becomes disqualified to serve as director.</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 Subject to the provisions of the Act, a vacancy on the board may be filled for the remainder of its term by a qualified individual by resolution of a quorum of the board. If there is not a quorum of directors or if a vacancy results from the failure to elect the number of directors required to be elected at any meeting of shareholders, the directors then in office shall forthwith call a special meeting of shareholders to fill the vacancy and, if they fail to call a meeting or if there are no directors then in office, the meeting may be called by any shareholder.</w:t>
      </w:r>
    </w:p>
    <w:p>
      <w:pPr>
        <w:spacing w:after="0" w:line="176" w:lineRule="exact"/>
        <w:rPr>
          <w:sz w:val="20"/>
          <w:szCs w:val="20"/>
          <w:color w:val="auto"/>
        </w:rPr>
      </w:pPr>
    </w:p>
    <w:p>
      <w:pPr>
        <w:ind w:left="4520" w:hanging="174"/>
        <w:spacing w:after="0"/>
        <w:tabs>
          <w:tab w:leader="none" w:pos="4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DIRECTORS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 Meetings of the board may be held at the registered office of the Corporation or at any other place within or outside of Ontario, and it is not necessary that, in any financial year of the Corporation, a majority of such meetings be held in Canada.</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 by Telephone</w:t>
      </w:r>
      <w:r>
        <w:rPr>
          <w:rFonts w:ascii="Times New Roman" w:cs="Times New Roman" w:eastAsia="Times New Roman" w:hAnsi="Times New Roman"/>
          <w:sz w:val="18"/>
          <w:szCs w:val="18"/>
          <w:color w:val="auto"/>
        </w:rPr>
        <w:t xml:space="preserve"> - With the unanimous consent of all of the directors present at or participating in the meeting, a director may participate in a meeting of the board or in a meeting of a committee of directors by means of such telephone, electronic or other communication facilities as permit all persons participating in the meeting to communicate with each other simultaneously and instantaneously, and a director participating in such a meeting by such means is deemed for the purposes of the Act and this by-law to be present at that meeting. A consent pursuant to this provision may be given before or after the meeting to which it relates and may be a “blanket” consent, relating to all meetings of the board and/or committees of the board and need not be in writing.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Calling of Meetings</w:t>
      </w:r>
      <w:r>
        <w:rPr>
          <w:rFonts w:ascii="Times New Roman" w:cs="Times New Roman" w:eastAsia="Times New Roman" w:hAnsi="Times New Roman"/>
          <w:sz w:val="18"/>
          <w:szCs w:val="18"/>
          <w:color w:val="auto"/>
        </w:rPr>
        <w:t xml:space="preserve"> - In addition to any other provisions in the articles or by-laws of a Corporation for calling meetings of directors, a quorum of the directors may, at any time, call a meeting of any business, the general nature of which is specified in the notice calling the meeting. Where the Corporation has only one director, that director may constitute a meeting.</w:t>
      </w:r>
    </w:p>
    <w:p>
      <w:pPr>
        <w:spacing w:after="0" w:line="17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xml:space="preserve"> - Notice of the time and place for the holding of a meeting of the board shall be given to every director of the Corporation not less than two clear days (excluding Sundays and holidays as defined by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before the date of the meeting. Notwithstanding the foregoing, notice of a meeting shall not be necessary if all of the directors are present, and none objects to the holding of the meeting, or if those absent have waived notice of or have otherwise signified their consent to the holding of such meeting. Notice of an adjourned meeting is not required if the time and place of the adjourned meeting is announced at the original meeting.</w:t>
      </w:r>
    </w:p>
    <w:p>
      <w:pPr>
        <w:spacing w:after="0" w:line="18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First Meeting of New Board</w:t>
      </w:r>
      <w:r>
        <w:rPr>
          <w:rFonts w:ascii="Times New Roman" w:cs="Times New Roman" w:eastAsia="Times New Roman" w:hAnsi="Times New Roman"/>
          <w:sz w:val="18"/>
          <w:szCs w:val="18"/>
          <w:color w:val="auto"/>
        </w:rPr>
        <w:t xml:space="preserve"> - Provided that a quorum of directors is present, a newly elected board may, without notice, hold its first meeting immediately following the meeting of shareholders at which such board is elected.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 The board may appoint a day or days in any month or months for regular meetings of the board at a place and hour to be named. A copy of any resolution of the board fixing the place and time of such regular meetings of the board shall be sent to each director forthwith after being passed, but no other notice shall be required for any such regular meeting except where the Act requires the purpose thereof or the business to be transacted thereat to be specified.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 A majority of the directors elected to office constitutes a quorum at any meeting of the board.</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xml:space="preserve"> - The Chairman of any meeting of the board shall be the first mentioned of such of the following officers as have been appointed and who is a director and is present at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Vice-President,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 such officer is present, the directors present shall choose one of their number to be Chairman of such meeting.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Votes to Govern</w:t>
      </w:r>
      <w:r>
        <w:rPr>
          <w:rFonts w:ascii="Times New Roman" w:cs="Times New Roman" w:eastAsia="Times New Roman" w:hAnsi="Times New Roman"/>
          <w:sz w:val="18"/>
          <w:szCs w:val="18"/>
          <w:color w:val="auto"/>
        </w:rPr>
        <w:t xml:space="preserve"> - At all meetings of the board, every question shall be decided by a majority of the votes cast on the question; and in the case of an equality of votes, the Chairman of the meeting shall not be entitled to a second or casting vote.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Disclosure- Conflict of Interest</w:t>
      </w:r>
      <w:r>
        <w:rPr>
          <w:rFonts w:ascii="Times New Roman" w:cs="Times New Roman" w:eastAsia="Times New Roman" w:hAnsi="Times New Roman"/>
          <w:sz w:val="18"/>
          <w:szCs w:val="18"/>
          <w:color w:val="auto"/>
        </w:rPr>
        <w:t xml:space="preserve"> - A director or officer of the Corporation who is a party to, or who is a director or an officer of, or has a material interest in any person who is a party to, a material contract or transaction or proposed material contract or transaction with the Corporation, shall disclose in writing to the Corporation or request to have entered in the minutes of meetings of directors the nature and extent of his interest. Disclosure, as aforesaid, shall be made at the time and in the manner required by the Act, and a director so having an interest in a contract or transaction shall, unless expressly permitted by the Act, not vote on any resolution to approve the contract or transaction.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Delegation by Directors (Committees)</w:t>
      </w:r>
      <w:r>
        <w:rPr>
          <w:rFonts w:ascii="Times New Roman" w:cs="Times New Roman" w:eastAsia="Times New Roman" w:hAnsi="Times New Roman"/>
          <w:sz w:val="18"/>
          <w:szCs w:val="18"/>
          <w:color w:val="auto"/>
        </w:rPr>
        <w:t xml:space="preserve"> - The board may appoint from their number a managing director, or a committee of directors, and delegate to such managing director or committee any of the powers of the board except those which relate to matters over which a managing director or committee shall, pursuant to the Act, not have authority. Unless otherwise determined by the board, a committee shall have the power to fix its quorum at not less than a majority of its members, to elect its chairman and to regulate its procedure.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Remuneration and Expenses</w:t>
      </w:r>
      <w:r>
        <w:rPr>
          <w:rFonts w:ascii="Times New Roman" w:cs="Times New Roman" w:eastAsia="Times New Roman" w:hAnsi="Times New Roman"/>
          <w:sz w:val="18"/>
          <w:szCs w:val="18"/>
          <w:color w:val="auto"/>
        </w:rPr>
        <w:t xml:space="preserve"> - Subject to the articles and any unanimous shareholder agreement, the board may fix the remuneration of the directors, which remuneration shall be in addition to any remuneration which may be payable to a director who serves the Corporation in any other capacity. The directors shall also be entitled to be reimbursed for travelling and other expenses properly incurred by them in attending meetings of the board, committees or shareholders and for such other out-of-pocket expenses incurred in respect of the performance of their duties as the board may from time to time determine.</w:t>
      </w:r>
    </w:p>
    <w:p>
      <w:pPr>
        <w:spacing w:after="0" w:line="179" w:lineRule="exact"/>
        <w:rPr>
          <w:sz w:val="20"/>
          <w:szCs w:val="20"/>
          <w:color w:val="auto"/>
        </w:rPr>
      </w:pPr>
    </w:p>
    <w:p>
      <w:pPr>
        <w:ind w:left="5260" w:hanging="181"/>
        <w:spacing w:after="0"/>
        <w:tabs>
          <w:tab w:leader="none" w:pos="5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 The board may from time to time designate the offices of the Corporation, appoint officers (and assistants to officers), specify their duties and, subject to the Act or the provisions of any unanimous shareholder agreement, delegate to such officers powers to manage the business and affairs of the Corporation. A director may be appointed to any office of the Corporation. Except for the chairman of the board and the managing director, an officer may but need not be a director. Two or more offices may be held by the same person.</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 of Office (Removal)</w:t>
      </w:r>
      <w:r>
        <w:rPr>
          <w:rFonts w:ascii="Times New Roman" w:cs="Times New Roman" w:eastAsia="Times New Roman" w:hAnsi="Times New Roman"/>
          <w:sz w:val="18"/>
          <w:szCs w:val="18"/>
          <w:color w:val="auto"/>
        </w:rPr>
        <w:t xml:space="preserve"> - In the absence of a written agreement to the contrary, the board may remove, whether for cause or without cause, any officer of the Corporation. Unless so removed, an officer shall hold office until his successor is appointed or until his resignation, whichever shall first occur.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Terms of Employment, Duties and Remuneration</w:t>
      </w:r>
      <w:r>
        <w:rPr>
          <w:rFonts w:ascii="Times New Roman" w:cs="Times New Roman" w:eastAsia="Times New Roman" w:hAnsi="Times New Roman"/>
          <w:sz w:val="18"/>
          <w:szCs w:val="18"/>
          <w:color w:val="auto"/>
        </w:rPr>
        <w:t xml:space="preserve"> - The terms of employment and remuneration of all officers elected or appointed by the board shall be determined from time to time and may be varied from time to time by the board. The fact that any officer or employee is a director or shareholder of the Corporation shall not disqualify him from receiving such remuneration as may be determined. All officers, in the absence of agreement to the contrary, shall be subject to removal by resolution of the Board of Directors at any time, with or without cause.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Description of Offices</w:t>
      </w:r>
      <w:r>
        <w:rPr>
          <w:rFonts w:ascii="Times New Roman" w:cs="Times New Roman" w:eastAsia="Times New Roman" w:hAnsi="Times New Roman"/>
          <w:sz w:val="18"/>
          <w:szCs w:val="18"/>
          <w:color w:val="auto"/>
        </w:rPr>
        <w:t xml:space="preserve"> - Unless otherwise specified by the board (which may, subject to the Act, modify, restrict or supplement such duties and powers), the offices of the Corporation, if designated and if officers are appointed thereto, shall have the following duties and powers associated therewith:</w:t>
      </w:r>
    </w:p>
    <w:p>
      <w:pPr>
        <w:spacing w:after="0" w:line="158" w:lineRule="exact"/>
        <w:rPr>
          <w:sz w:val="20"/>
          <w:szCs w:val="20"/>
          <w:color w:val="auto"/>
        </w:rPr>
      </w:pPr>
    </w:p>
    <w:p>
      <w:pPr>
        <w:ind w:left="660" w:right="2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Chairman of the Board </w:t>
      </w:r>
      <w:r>
        <w:rPr>
          <w:rFonts w:ascii="Times New Roman" w:cs="Times New Roman" w:eastAsia="Times New Roman" w:hAnsi="Times New Roman"/>
          <w:sz w:val="18"/>
          <w:szCs w:val="18"/>
          <w:color w:val="auto"/>
        </w:rPr>
        <w:t>- The chairman of the board, if one is to be appointed, shall be a director. The board may assign to him any of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which, pursuant to the by-laws, are capable of being assigned to the managing director or to the president. During the absence or disability of the Chairman of the Board, the President shall assume all his powers and duties.</w:t>
      </w:r>
    </w:p>
    <w:p>
      <w:pPr>
        <w:spacing w:after="0" w:line="170"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Director </w:t>
      </w:r>
      <w:r>
        <w:rPr>
          <w:rFonts w:ascii="Times New Roman" w:cs="Times New Roman" w:eastAsia="Times New Roman" w:hAnsi="Times New Roman"/>
          <w:sz w:val="18"/>
          <w:szCs w:val="18"/>
          <w:color w:val="auto"/>
        </w:rPr>
        <w:t>- The managing director, if one is to be appointed, shall exercise such powers and have such authority as may be delegated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him by the Board in accordance with the provisions of Section 127 of the Act.</w:t>
      </w:r>
    </w:p>
    <w:p>
      <w:pPr>
        <w:spacing w:after="0" w:line="154"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w:t>
      </w:r>
      <w:r>
        <w:rPr>
          <w:rFonts w:ascii="Times New Roman" w:cs="Times New Roman" w:eastAsia="Times New Roman" w:hAnsi="Times New Roman"/>
          <w:sz w:val="18"/>
          <w:szCs w:val="18"/>
          <w:color w:val="auto"/>
        </w:rPr>
        <w:t>- The President shall be the chief executive officer of the Corporation unless otherwise determined by resolution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have responsibility for the general management and direction of the business and affairs of the Corporation, subject to the authority of the Board of Directors. Where no Chairman of the Board is elected or during the absence or inability to act of Chairman of the Board, the President, when present, shall preside at all meetings of shareholders, and if he is a director, at all meetings of the Board of Directors or meetings of a committee of directors;</w:t>
      </w:r>
    </w:p>
    <w:p>
      <w:pPr>
        <w:spacing w:after="0" w:line="179" w:lineRule="exact"/>
        <w:rPr>
          <w:rFonts w:ascii="Times New Roman" w:cs="Times New Roman" w:eastAsia="Times New Roman" w:hAnsi="Times New Roman"/>
          <w:sz w:val="18"/>
          <w:szCs w:val="18"/>
          <w:color w:val="auto"/>
        </w:rPr>
      </w:pPr>
    </w:p>
    <w:p>
      <w:pPr>
        <w:ind w:left="660" w:right="180" w:hanging="328"/>
        <w:spacing w:after="0" w:line="25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Vice-President </w:t>
      </w:r>
      <w:r>
        <w:rPr>
          <w:rFonts w:ascii="Times New Roman" w:cs="Times New Roman" w:eastAsia="Times New Roman" w:hAnsi="Times New Roman"/>
          <w:sz w:val="18"/>
          <w:szCs w:val="18"/>
          <w:color w:val="auto"/>
        </w:rPr>
        <w:t>- During the absence or inability of the President, his duties may be performed and his powers may be exercised by the Vice-President, or if there are more than one, by the Vice-President in order of seniority (as determined by the Board of Directors) save that no Vice-President shall preside at a meeting of the Board of Directors or at a meeting of shareholders who is not qualified to attend the meeting as a director or shareholder, as the case may be. A Vice-President shall also perform such duties and exercise such powers as the President may from time to time delegate to him or as the Board of Directors may prescribe;</w:t>
      </w:r>
    </w:p>
    <w:p>
      <w:pPr>
        <w:spacing w:after="0" w:line="179"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Manager </w:t>
      </w:r>
      <w:r>
        <w:rPr>
          <w:rFonts w:ascii="Times New Roman" w:cs="Times New Roman" w:eastAsia="Times New Roman" w:hAnsi="Times New Roman"/>
          <w:sz w:val="18"/>
          <w:szCs w:val="18"/>
          <w:color w:val="auto"/>
        </w:rPr>
        <w:t>- The General Manager, if one be appointed, shall have the responsibility for the general management, and direction,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authority of the Board of Directors and the supervision of the President, of the Corporation’s business and affairs and the power to appoint and remove any and all officers, employees and agents of the Corporation not appointed directly by the Board of Directors and to settle the terms of their employment and remuneration.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ind w:left="660" w:right="8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 The secretary, when in attendance, shall be the secretary of all meetings of the board, shareholders and committees of the board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he attends, the secretary shall enter or cause to be entered in the Corporation’s minute book, minutes of all proceedings at such meetings; he shall give, or cause to be given, as and when instructed, notices to shareholders, directors, auditors and members of committees; he shall be the custodian of the corporate seal as well as all books, papers, records, documents and other instruments belonging to the Corporation. He shall perform such other duties as may from time to time be prescribed by the Board of Directors;</w:t>
      </w:r>
    </w:p>
    <w:p>
      <w:pPr>
        <w:spacing w:after="0" w:line="179"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Treasurer </w:t>
      </w:r>
      <w:r>
        <w:rPr>
          <w:rFonts w:ascii="Times New Roman" w:cs="Times New Roman" w:eastAsia="Times New Roman" w:hAnsi="Times New Roman"/>
          <w:sz w:val="18"/>
          <w:szCs w:val="18"/>
          <w:color w:val="auto"/>
        </w:rPr>
        <w:t>- The treasurer shall be responsible for the maintenance of proper accounting records in compliance with the Act as well as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money, the safekeeping of securities and the disbursement of funds of the Corporation; whenever required, he shall render to the board an account of his transactions as treasurer and of the financial position of the Corporation.</w:t>
      </w:r>
    </w:p>
    <w:p>
      <w:pPr>
        <w:spacing w:after="0" w:line="17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duties of all other officers of the Corporation shall be such as the terms of their engagement call for or the board requires of them. Any of the powers and duties of an officer to whom an assistant has been appointed may be exercised and performed by such assistant, unless the board otherwise directs.</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 If the office of the Chairman of the Board, Managing Director, President, Vice-President, Secretary, Assistant Secretary, Treasurer, Assistant Secretary, or any one of such offices, or any other office shall be or become vacant by reason of death, resignation, disqualification or otherwise, the Board of Directors by resolution shall in the case of the President or Secretary, and may in the case of any other office, appoint a person to fill such vacancy.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Agents and Attorneys</w:t>
      </w:r>
      <w:r>
        <w:rPr>
          <w:rFonts w:ascii="Times New Roman" w:cs="Times New Roman" w:eastAsia="Times New Roman" w:hAnsi="Times New Roman"/>
          <w:sz w:val="18"/>
          <w:szCs w:val="18"/>
          <w:color w:val="auto"/>
        </w:rPr>
        <w:t xml:space="preserve"> - The board shall have power from time to time to appoint agents or attorneys for the Corporation in or out of Ontario with such powers of management, administration or otherwise (including the power to sub-delegate) as the board considers fit.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Disclosure- Conflict of Interest</w:t>
      </w:r>
      <w:r>
        <w:rPr>
          <w:rFonts w:ascii="Times New Roman" w:cs="Times New Roman" w:eastAsia="Times New Roman" w:hAnsi="Times New Roman"/>
          <w:sz w:val="18"/>
          <w:szCs w:val="18"/>
          <w:color w:val="auto"/>
        </w:rPr>
        <w:t xml:space="preserve"> - An officer shall have the same duty to disclose his interest in a material contract or transaction or proposed material contract or transaction with the Corporation, as is, pursuant to the provisions of the Act and the by-laws, imposed upon directors.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7" w:name="page38"/>
    <w:bookmarkEnd w:id="37"/>
    <w:p>
      <w:pPr>
        <w:ind w:left="3300" w:hanging="189"/>
        <w:spacing w:after="0"/>
        <w:tabs>
          <w:tab w:leader="none" w:pos="3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PROTECTION OF DIRECTORS, OFFICERS AND OTHERS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xml:space="preserve"> - Every director and officer of the Corporation in exercising his powers and discharging his duties shall act honestly and in good faith with a view to the best interests of the Corporation and shall exercise the care, diligence and skill that a reasonably prudent person would exercise in comparable circumstances. Every director and officer of the Corporation shall comply with the Act, the regulations, articles, by-laws and any unanimous shareholder agreement.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 Provided that the standard of care required of him has been satisfied, no director or officer shall be liable for the acts, receipts, neglects or defaults of any other director or officer or employee, or for joining in any receipt or other act for conformity, or for any loss, damage or expense happening to the Corporation through the insufficiency or deficiency of title to any property acquired for or on behalf of the Corporation, or for the insufficiency or deficiency of any security in or upon which any of the monies of the Corporation shall be invested, or for any loss or damage arising from the bankruptcy, insolvency or tortious acts of any person with whom any of the monies, securities or effects of the Corporation shall be deposited, or for any loss occasioned by any error of judgment or oversight on his part, or for any other loss, damage or misfortune which shall happen in the execution of the duties of his office or in relation thereto, unless the same are occasioned by his own willful neglect or default.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Indemnity of Directors and Officers</w:t>
      </w:r>
      <w:r>
        <w:rPr>
          <w:rFonts w:ascii="Times New Roman" w:cs="Times New Roman" w:eastAsia="Times New Roman" w:hAnsi="Times New Roman"/>
          <w:sz w:val="18"/>
          <w:szCs w:val="18"/>
          <w:color w:val="auto"/>
        </w:rPr>
        <w:t xml:space="preserve"> - Subject to the Act, the Corporation shall indemnify a director or officer of the Corporation, a former director of officer of the Corporation or a person who acts or acted at the Corporation’s request as a director or officer of a body corporate of which the Corporation is or was a shareholder or creditor, and their heirs and legal representatives, against all costs, charges and expenses, including an amount paid to settle an action or satisfy a judgment, reasonably incurred by him in respect of any civil, criminal administrative, investigative or other action or proceeding to which he is made a party by reason of being or having been a director or officer of such corporation or body corporate if,</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acted honestly and in good faith with a view to the best interests of the Corporation; and</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he had reasonable grounds for believing that his conduct was lawful.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indemnify such person in all such other matters, actions, proceedings and circumstances as may be permitted by the Act or the law.</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 Subject to the Act, the Corporation may purchase and maintain such insurance for the benefit of any person entitled to be indemnified by the Corporation pursuant to the immediately preceding section as the board may from time to time determine.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8" w:name="page39"/>
    <w:bookmarkEnd w:id="38"/>
    <w:p>
      <w:pPr>
        <w:ind w:left="4300" w:hanging="171"/>
        <w:spacing w:after="0"/>
        <w:tabs>
          <w:tab w:leader="none" w:pos="4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SHAREHOLDERS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 The board shall call, at such date and time as it determines, the first annual meeting of shareholders not later than eighteen months after the Corporation comes into existence and thereafter not later than fifteen months after holding the last preceding annual meeting, so as to consider the financial statements and reports required by the Act to be presented thereat, to elect directors, appoint auditors and to transact such other business as may properly be brought before the meeting.</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 The board, the chairman of the board, the managing director or the president may at any time call a special meeting of shareholders for the transaction of any business which may properly be brought before such meeting of shareholders.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 Meetings of shareholders shall be held at such place in or outside Ontario as the board determines or, in the absence of such a determination, at the place where the registered office of the Corporation is located.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Special Business</w:t>
      </w:r>
      <w:r>
        <w:rPr>
          <w:rFonts w:ascii="Times New Roman" w:cs="Times New Roman" w:eastAsia="Times New Roman" w:hAnsi="Times New Roman"/>
          <w:sz w:val="18"/>
          <w:szCs w:val="18"/>
          <w:color w:val="auto"/>
        </w:rPr>
        <w:t xml:space="preserve"> - All business transacted at a special meeting or an annual meeting of shareholders, except consideration of the minutes of an earlier meeting, the financial statements and auditor’s report, election of directors and reappointment of the incumbent auditor constitutes special business.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 Notice of the time and place of a meeting of shareholders shall be sent not less than 10 days, or if the Corporation is an offering corporation, not less than twenty-one (21) days, but in either case not more than 50 days before the date of the meeting:</w:t>
      </w:r>
    </w:p>
    <w:p>
      <w:pPr>
        <w:spacing w:after="0" w:line="162" w:lineRule="exact"/>
        <w:rPr>
          <w:sz w:val="20"/>
          <w:szCs w:val="20"/>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shareholder entitled to vote at the meeting (according to the records of the Corporation at the close of business on the day preceding the giving of the notice);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director;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auditor of the Corporation.</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meeting of shareholders may be held at any time without notice if all the shareholders entitled to vote thereat are present or represented by proxy and do not object to the holding of the meeting or those not so present by proxy have waived notice, if all the directors are present or have waived notice of or otherwise consent to the meeting and if the auditor, if any, is present or has waived notice of or otherwise consents to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a meeting of shareholders at which special business is to be transacted shall state:</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that business in sufficient detail to permit the shareholder to form a reasoned judgment thereon;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adjournment of a meeting, notice, if any is required, shall be given in accordance with the provisions of the Act.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Waiving Notice</w:t>
      </w:r>
      <w:r>
        <w:rPr>
          <w:rFonts w:ascii="Times New Roman" w:cs="Times New Roman" w:eastAsia="Times New Roman" w:hAnsi="Times New Roman"/>
          <w:sz w:val="18"/>
          <w:szCs w:val="18"/>
          <w:color w:val="auto"/>
        </w:rPr>
        <w:t xml:space="preserve"> - A shareholder and any other person entitled to attend a meeting of shareholders may in any manner and at any time waive notice of a meeting of shareholders, and attendance of any such person at a meeting of shareholders is a waiver of notice of the meeting, except where such person attends a meeting for the express purpose of objecting to the transaction of any business on the grounds that the meeting is not lawfully called.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Persons Entitled to be Present</w:t>
      </w:r>
      <w:r>
        <w:rPr>
          <w:rFonts w:ascii="Times New Roman" w:cs="Times New Roman" w:eastAsia="Times New Roman" w:hAnsi="Times New Roman"/>
          <w:sz w:val="18"/>
          <w:szCs w:val="18"/>
          <w:color w:val="auto"/>
        </w:rPr>
        <w:t xml:space="preserve"> - The only persons entitled to be present at a meeting of shareholders shall be those entitled to vote thereat, the directors and the auditor of the Corporation, if any and such other persons who are entitled or required under any provision of the Act, articles or by-laws of the Corporation to be present at the meeting. Any other person may be admitted only on the invitation of the chairman of the meeting or with the consent of the meeting.</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 Two holders of shares entitled to vote at a meeting of shareholders, whether present in person or represented by proxy, constitute a quorum for the transaction of business at any meeting of shareholders. If a quorum is present at the opening of a meeting of shareholders, the shareholders present may proceed with the business of the meeting even if a quorum is not present throughout the meeting. If the Corporation has only one shareholder, or only one holder of any class or series of shares, the shareholder present in person or by proxy constitutes a meeting.</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Right to Vote</w:t>
      </w:r>
      <w:r>
        <w:rPr>
          <w:rFonts w:ascii="Times New Roman" w:cs="Times New Roman" w:eastAsia="Times New Roman" w:hAnsi="Times New Roman"/>
          <w:sz w:val="18"/>
          <w:szCs w:val="18"/>
          <w:color w:val="auto"/>
        </w:rPr>
        <w:t xml:space="preserve"> - Unless the articles otherwise provide, each share of the Corporation entitles the holder thereof to one vote at a meeting of shareholders. At each meeting of shareholders every shareholder shall be entitled to vote who is entered on the books of the Corporation as a holder of one or more shares carrying the right to vote at such meeting in accordance with a shareholder list which, in the case of a record date, shall be a list of those registered at the close of business on that record date, and where there is no record date, at the close of business on the day immediately preceding the day on which notice is given or, where no notice is given, those registered on the day on which the meeting is held. When a share or shares have been mortgaged or hypothecated, the person who mortgaged or hypothecated such share or shares (or his proxy) may nevertheless represent the shares at meetings and vote in respect thereof unless in the instrument creating the mortgage or hypothec, he has expressly empowered the holder of such mortgage or hypothec to vote thereon, in which case such holder (or his proxy) may attend meetings to vote in respect of such shares upon filing with the Secretary of the meeting sufficient proof of the terms of such instrument.</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 An executor, administrator, committee of a mentally incompetent person, guardian or trustee and where a Corporation is such executor, administrator, committee, guardian or trustee, any person duly a proxy appointed for such corporation, upon filing with the secretary of the meeting sufficient proof of his appointment, shall represent the shares in his or its hands at all meetings of the shareholders of the Corporation and may vote accordingly as a shareholder in the same manner and to the same extent as the shareholder of record. Where two or more persons hold the same share or shares jointly, any one of such persons present at a meeting of shareholders has the right, in the absence of the other or others, to vote in respect of such share or shares but if more than one of such persons are present or represented by proxy and vote, they shall vote together as one on the share or shares jointly held by them.</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Scrutineers</w:t>
      </w:r>
      <w:r>
        <w:rPr>
          <w:rFonts w:ascii="Times New Roman" w:cs="Times New Roman" w:eastAsia="Times New Roman" w:hAnsi="Times New Roman"/>
          <w:sz w:val="18"/>
          <w:szCs w:val="18"/>
          <w:color w:val="auto"/>
        </w:rPr>
        <w:t xml:space="preserve"> - At each meeting of shareholders one or more scrutineers may be appointed by a resolution of the meeting or by the Chairman with the consent of the meeting to serve at the meeting. Such scrutineers need not be shareholders of the Corporation.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 Every shareholder entitled to vote at a meeting of shareholders may by means of a proxy appoint a proxyholder or one or more alternate proxyholders who need not be shareholders, as the shareholder’s nominee to attend and act at the meeting in the manner, to the extent and with the authority conferred by the proxy. A proxy shall be in writing, shall be executed by the shareholder or by his attorney authorized in writing or, if the shareholder is a body corporate, by an officer or attorney thereof duly authorized, and shall cease to be valid after the expiration of one year from the date thereof. The instrument appointing a proxy shall comply with the provisions of the Act and regulations thereto and shall be in such form as the Board of Directors may from time to time prescribe or in such other form as the Chairman of the meeting may accept as sufficient and shall be deposited with the Secretary of the meeting before any vote is cast under its authority, or at such earlier time and in such manner as the Board of Directors may prescribe in accordance with the Act.</w:t>
      </w:r>
    </w:p>
    <w:p>
      <w:pPr>
        <w:spacing w:after="0" w:line="19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Time for Deposit of Proxies</w:t>
      </w:r>
      <w:r>
        <w:rPr>
          <w:rFonts w:ascii="Times New Roman" w:cs="Times New Roman" w:eastAsia="Times New Roman" w:hAnsi="Times New Roman"/>
          <w:sz w:val="18"/>
          <w:szCs w:val="18"/>
          <w:color w:val="auto"/>
        </w:rPr>
        <w:t xml:space="preserve"> - The Corporation shall recognize a proxy only if it has been deposited with the Corporation and it shall be so deposited before any vote is taken under its authority, or at such earlier time as the board, in compliance with the Act, prescribes and which has been specified in the notice calling the meeting.</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Corporate Shareholders and Associations</w:t>
      </w:r>
      <w:r>
        <w:rPr>
          <w:rFonts w:ascii="Times New Roman" w:cs="Times New Roman" w:eastAsia="Times New Roman" w:hAnsi="Times New Roman"/>
          <w:sz w:val="18"/>
          <w:szCs w:val="18"/>
          <w:color w:val="auto"/>
        </w:rPr>
        <w:t xml:space="preserve"> - As an alternative to depositing a proxy, a body corporate or an association may deposit a certified copy of a resolution of its directors or governing body authorizing an individual to represent it at meetings of shareholders of the Corporation.</w:t>
      </w:r>
    </w:p>
    <w:p>
      <w:pPr>
        <w:spacing w:after="0" w:line="162"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 xml:space="preserve">7.15 </w:t>
      </w:r>
      <w:r>
        <w:rPr>
          <w:rFonts w:ascii="Times New Roman" w:cs="Times New Roman" w:eastAsia="Times New Roman" w:hAnsi="Times New Roman"/>
          <w:sz w:val="17"/>
          <w:szCs w:val="17"/>
          <w:u w:val="single" w:color="auto"/>
          <w:color w:val="auto"/>
        </w:rPr>
        <w:t>Joint Shareholders</w:t>
      </w:r>
      <w:r>
        <w:rPr>
          <w:rFonts w:ascii="Times New Roman" w:cs="Times New Roman" w:eastAsia="Times New Roman" w:hAnsi="Times New Roman"/>
          <w:sz w:val="17"/>
          <w:szCs w:val="17"/>
          <w:color w:val="auto"/>
        </w:rPr>
        <w:t xml:space="preserve"> - Where two or more persons hold shares jointly, one of those holders present at a meeting of shareholders may in the absence of the others vote the shares, but if two or more of those persons are present, in person or by proxy, they shall vote as one on the shares jointly held by them.</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Votes to Govern</w:t>
      </w:r>
      <w:r>
        <w:rPr>
          <w:rFonts w:ascii="Times New Roman" w:cs="Times New Roman" w:eastAsia="Times New Roman" w:hAnsi="Times New Roman"/>
          <w:sz w:val="18"/>
          <w:szCs w:val="18"/>
          <w:color w:val="auto"/>
        </w:rPr>
        <w:t xml:space="preserve"> - Subject to the Act, the articles, the by-laws and any unanimous shareholder agreement, all questions proposed for the consideration of the shareholders shall be determined by a majority of the votes cast thereon and, in case of an equality of votes, the chairman of the meeting shall not have a second or casting vote.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Show of Hands</w:t>
      </w:r>
      <w:r>
        <w:rPr>
          <w:rFonts w:ascii="Times New Roman" w:cs="Times New Roman" w:eastAsia="Times New Roman" w:hAnsi="Times New Roman"/>
          <w:sz w:val="18"/>
          <w:szCs w:val="18"/>
          <w:color w:val="auto"/>
        </w:rPr>
        <w:t xml:space="preserve"> - Except where a ballot is demanded as hereafter set out, voting on any question proposed for consideration at a meeting of shareholders shall be by show of hands, and a declaration by the chairman as to whether or not the question or motion has been carried and an entry to that effect in the minutes of the meeting shall, in the absence of evidence to the contrary, be evidence of the fact without proof of the number or proportion of the votes recorded in favour of or against the motion.</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Ballots</w:t>
      </w:r>
      <w:r>
        <w:rPr>
          <w:rFonts w:ascii="Times New Roman" w:cs="Times New Roman" w:eastAsia="Times New Roman" w:hAnsi="Times New Roman"/>
          <w:sz w:val="18"/>
          <w:szCs w:val="18"/>
          <w:color w:val="auto"/>
        </w:rPr>
        <w:t xml:space="preserve"> - For any question proposed for consideration at a meeting of shareholders, either before or after a vote by show of hands has been taken, the chairman, or any shareholder or proxyholder may demand a ballot, in which case the ballot shall be taken in such manner as the chairman directs and the decision of the shareholders on the question shall be determined by the result of such ballot.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Resolution in Lieu of Meeting</w:t>
      </w:r>
      <w:r>
        <w:rPr>
          <w:rFonts w:ascii="Times New Roman" w:cs="Times New Roman" w:eastAsia="Times New Roman" w:hAnsi="Times New Roman"/>
          <w:sz w:val="18"/>
          <w:szCs w:val="18"/>
          <w:color w:val="auto"/>
        </w:rPr>
        <w:t xml:space="preserve"> - Except where, pursuant to the Act, a written statement is submitted to the Corporation by a director or representations in writing are submitted to the Corporation by an auditor:</w:t>
      </w:r>
    </w:p>
    <w:p>
      <w:pPr>
        <w:spacing w:after="0" w:line="162" w:lineRule="exact"/>
        <w:rPr>
          <w:sz w:val="20"/>
          <w:szCs w:val="20"/>
          <w:color w:val="auto"/>
        </w:rPr>
      </w:pPr>
    </w:p>
    <w:p>
      <w:pPr>
        <w:ind w:left="660" w:right="3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entitled to vote on that resolution at a meeting of shareholders is as valid as if it had been passed at a meeting of the shareholders;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dealing with all matters required by the Act to be dealt with at a meeting of shareholders, and signed by all the shareholders entitled to vote at that meeting, satisfies all the requirements of the Act relating to that meeting of shareholders.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One Shareholder</w:t>
      </w:r>
      <w:r>
        <w:rPr>
          <w:rFonts w:ascii="Times New Roman" w:cs="Times New Roman" w:eastAsia="Times New Roman" w:hAnsi="Times New Roman"/>
          <w:sz w:val="18"/>
          <w:szCs w:val="18"/>
          <w:color w:val="auto"/>
        </w:rPr>
        <w:t xml:space="preserve"> - Where the Corporation has only one shareholder, all business which the Corporation may transact at an annual or special meeting of shareholders shall be transacted in the manner provided for in paragraph 7.19 hereof.</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xml:space="preserve"> - The Chairman of the meeting of shareholders may, with the consent of the meeting and subject to such conditions as the meeting may decide, or where otherwise permitted under the provisions of the Act, adjourn the meeting from time to time and from place to place.</w:t>
      </w:r>
    </w:p>
    <w:p>
      <w:pPr>
        <w:spacing w:after="0" w:line="158" w:lineRule="exact"/>
        <w:rPr>
          <w:sz w:val="20"/>
          <w:szCs w:val="20"/>
          <w:color w:val="auto"/>
        </w:rPr>
      </w:pPr>
    </w:p>
    <w:p>
      <w:pPr>
        <w:ind w:left="5360" w:hanging="186"/>
        <w:spacing w:after="0"/>
        <w:tabs>
          <w:tab w:leader="none" w:pos="5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Allotment</w:t>
      </w:r>
      <w:r>
        <w:rPr>
          <w:rFonts w:ascii="Times New Roman" w:cs="Times New Roman" w:eastAsia="Times New Roman" w:hAnsi="Times New Roman"/>
          <w:sz w:val="18"/>
          <w:szCs w:val="18"/>
          <w:color w:val="auto"/>
        </w:rPr>
        <w:t xml:space="preserve"> - Subject to the Act, the articles and any unanimous shareholder agreement, the board may from time to time issue, allot or grant options to purchase the whole or any part of the authorized and unissued shares of the Corporation, at such times and to such persons and for such consideration as the board shall determine, provided that no share shall be issued until it is fully paid as provided by the Act.</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xml:space="preserve"> - Share certificates and the form of stock transfer power shall be in such form as the board shall from time to time approve and shall be signed by the Chairman of the Board or the President or a Vice-President and the Secretary or Assistant Secretary holding office at the time of signing. Every shareholder of the Corporation is entitled upon request to a share certificate or to a non-transferable written acknowledgment of his right to obtain a share certificate in respect of the shares held by him.</w:t>
      </w:r>
    </w:p>
    <w:p>
      <w:pPr>
        <w:spacing w:after="0" w:line="18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Articles, the Board may provide by resolution that all or any classes and series of shares or other securities shall be uncertified securities, provided that such resolution shall not apply to securities represented by a certificate until such certificate is surrendered to the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t>The signature of the Chairman of the Board, the Vice-Chairman of the Board, the President or a Vice-President may be printed, engraved, lithographed or otherwise mechanically reproduced upon certificates for shares of the Corporation. Certificates so signed shall be deemed to have been manually signed by the Chairman of the Board, the Vice-Chairman of the Board, the President or the Vice-President whose signature is so printed, engraved, lithographed or otherwise mechanically reproduced thereon and shall be as valid to all intents and purposes as if they had been signed manually. Where the Corporation has appointed a trustee, registrar, transfer agent, branch transfer agent or other authenticating agent, for the shares of the Corporation the signature of the Secretary or Assistant Secretary may also be printed, engraved, lithographed or otherwise mechanically reproduced on certificates representing the shares (or the shares of the class or classes in respect of which any such appointment has been made) of the Corporation and when countersigned by or on behalf of a trustee, registrar, transfer agent, branch transfer agent or other authenticating agent such certificates so signed shall be as valid to all intents and purposes as if they had been signed manually. A share certificate containing the signature of a person which is printed, engraved, lithographed or otherwise mechanically reproduced thereon may be issued notwithstanding that the person has ceased to be an officer of the Corporation and shall be as valid as if he were an officer at the date of its issue.</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Joint Shareholders</w:t>
      </w:r>
      <w:r>
        <w:rPr>
          <w:rFonts w:ascii="Times New Roman" w:cs="Times New Roman" w:eastAsia="Times New Roman" w:hAnsi="Times New Roman"/>
          <w:sz w:val="18"/>
          <w:szCs w:val="18"/>
          <w:color w:val="auto"/>
        </w:rPr>
        <w:t xml:space="preserve"> - If two or more persons are registered as joint holders of any share, it shall be sufficient for the Corporation to issue one certificate in respect thereof and it shall also be sufficient for the Corporation to accept, from any one of such persons, receipts for the certificate or for any dividend, bonus, return of capital or other money payable or warrant issuable in respect of such share.</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Deceased Shareholders</w:t>
      </w:r>
      <w:r>
        <w:rPr>
          <w:rFonts w:ascii="Times New Roman" w:cs="Times New Roman" w:eastAsia="Times New Roman" w:hAnsi="Times New Roman"/>
          <w:sz w:val="18"/>
          <w:szCs w:val="18"/>
          <w:color w:val="auto"/>
        </w:rPr>
        <w:t xml:space="preserve"> - In the event of the death of a shareholder, the Corporation shall not be required to make an entry in its records in respect of such death and nor shall it be required to make any dividend or other payment in respect of such shares until such documents have been produced to the Corporation as are required by the Act and the law and as are reasonably required by the Corporation and its transfer agents.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Replacement of Share Certificates</w:t>
      </w:r>
      <w:r>
        <w:rPr>
          <w:rFonts w:ascii="Times New Roman" w:cs="Times New Roman" w:eastAsia="Times New Roman" w:hAnsi="Times New Roman"/>
          <w:sz w:val="18"/>
          <w:szCs w:val="18"/>
          <w:color w:val="auto"/>
        </w:rPr>
        <w:t xml:space="preserve"> - Subject to the Act, the board may prescribe, either generally or for a particular instance, the conditions upon which a new share certificate may be issued to replace a share certificate which has been or is claimed to have been defaced, lost, stolen or destroyed.</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Payment of Commission</w:t>
      </w:r>
      <w:r>
        <w:rPr>
          <w:rFonts w:ascii="Times New Roman" w:cs="Times New Roman" w:eastAsia="Times New Roman" w:hAnsi="Times New Roman"/>
          <w:sz w:val="18"/>
          <w:szCs w:val="18"/>
          <w:color w:val="auto"/>
        </w:rPr>
        <w:t xml:space="preserve"> - The board may, from time to time, authorize the Corporation to pay a reasonable commission to any person in consideration of his purchasing or agreeing to purchase shares of the Corporation from the Corporation or from any other person, or for procuring or agreeing to procure purchasers for any such shares.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Lien for Indebtedness</w:t>
      </w:r>
      <w:r>
        <w:rPr>
          <w:rFonts w:ascii="Times New Roman" w:cs="Times New Roman" w:eastAsia="Times New Roman" w:hAnsi="Times New Roman"/>
          <w:sz w:val="18"/>
          <w:szCs w:val="18"/>
          <w:color w:val="auto"/>
        </w:rPr>
        <w:t xml:space="preserve"> - Subject to the Act, the Corporation has a lien on shares registered in the name of a shareholder or his legal representative for a debt of that shareholder to the Corporation which lien may be enforced, subject to the articles and to any unanimous shareholder agreement, by the sale of such shares or by any other proceeding or remedy available by law to the Corporation and, until such indebtedness has been satisfied, the Corporation may refuse to register a transfer of any such shares.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Central Securities Register</w:t>
      </w:r>
      <w:r>
        <w:rPr>
          <w:rFonts w:ascii="Times New Roman" w:cs="Times New Roman" w:eastAsia="Times New Roman" w:hAnsi="Times New Roman"/>
          <w:sz w:val="18"/>
          <w:szCs w:val="18"/>
          <w:color w:val="auto"/>
        </w:rPr>
        <w:t xml:space="preserve"> - A securities register and the register of transfers of the Corporation shall be kept at the registered office of the Corporation or such other office or place in Ontario as may from time to time be designated by resolution of the Board of Directors and a branch securities register or registers of transfers may be kept at such office or offices of the Corporation or other place or places, either in or outside Ontario, as may from time to time be designated by resolution of the Board of Directors.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Transfer of Securities</w:t>
      </w:r>
      <w:r>
        <w:rPr>
          <w:rFonts w:ascii="Times New Roman" w:cs="Times New Roman" w:eastAsia="Times New Roman" w:hAnsi="Times New Roman"/>
          <w:sz w:val="18"/>
          <w:szCs w:val="18"/>
          <w:color w:val="auto"/>
        </w:rPr>
        <w:t xml:space="preserve"> - No transfer of shares shall be recorded or registered unless or until the certificate representing the shares to be transferred has been surrendered and cancelled.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left="5200" w:hanging="171"/>
        <w:spacing w:after="0"/>
        <w:tabs>
          <w:tab w:leader="none" w:pos="52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xml:space="preserve"> - Subject to the Act, the articles and any unanimous shareholder agreement, the board may declare and the Corporation may pay dividends to the shareholders according to their respective rights and interests in the Corporation. Any such dividend may be paid by issuing fully paid shares of the Corporation or options or rights to acquire fully paid shares of the Corporation or, subject to the Act, the Corporation may pay a dividend in money or property.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 A dividend payable in money shall be paid by cheque to the order of each registered holder of shares of the class or series in respect of which it has been declared and, unless the shareholder otherwise directs, mailed by prepaid ordinary mail to such registered holder at his last address appearing on the records of the Corporation. In the case of joint shareholders, unless they otherwise direct, the cheque shall be made payable to the order of all of such joint holders and mailed by prepaid ordinary mail to them at the address appearing on the records of the Corporation for them or, if addresses appear for more than one such joint holder, it shall be mailed to the first address so appearing. The mailing of such cheque as aforesaid, unless it is not honoured on presentation, shall satisfy and discharge the liability for the dividend to the extent of the aggregate of the sum represented by such cheque plus the amount of any tax which the Corporation is required to and does withhold. The board may prescribe, either generally or for a particular instance, the terms as to indemnity, reimbursement of expenses and evidence of non-receipt, upon which a replacement cheque may be issued to a person to whom a dividend cheque was sent and who claims that such cheque was not received or has been defaced, lost, stolen or destroyed.</w:t>
      </w:r>
    </w:p>
    <w:p>
      <w:pPr>
        <w:spacing w:after="0" w:line="184" w:lineRule="exact"/>
        <w:rPr>
          <w:sz w:val="20"/>
          <w:szCs w:val="20"/>
          <w:color w:val="auto"/>
        </w:rPr>
      </w:pPr>
    </w:p>
    <w:p>
      <w:pPr>
        <w:ind w:left="5360" w:hanging="276"/>
        <w:spacing w:after="0"/>
        <w:tabs>
          <w:tab w:leader="none" w:pos="5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Method of Giving Notices</w:t>
      </w:r>
      <w:r>
        <w:rPr>
          <w:rFonts w:ascii="Times New Roman" w:cs="Times New Roman" w:eastAsia="Times New Roman" w:hAnsi="Times New Roman"/>
          <w:sz w:val="18"/>
          <w:szCs w:val="18"/>
          <w:color w:val="auto"/>
        </w:rPr>
        <w:t xml:space="preserve"> - Any notice, communication or other document required to be given by the Corporation to a shareholder, director, officer, member of a committee of the board or auditor of the Corporation pursuant to the Act, the regulations, the articles or by-laws or otherwise shall be sufficiently given to such person if:</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to him, in which case it shall be deemed to have been given when so delivered;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 his recorded address, in which case it shall be deemed to have been given when so delivered;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660" w:right="4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to him at his recorded address by prepaid ordinary mail, in which case it shall be deemed to have been given on the fifth day after it is deposited in a post office or public letter box; or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to him at his recorded address by any means of prepaid transmitted or recorded communication, in which case it shall be deemed to have been given when dispatched or delivered to the appropriate communication company or agency or its representative for dispatch.</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a notice or document is sent to a shareholder by prepaid mail in accordance with this paragraph and the notice or document is returned on three consecutive occasions because the shareholder cannot be found, it shall not be necessary to send any further notices or documents to the shareholder until he informs the Corporation in writing of his new address.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 to Joint Shareholders</w:t>
      </w:r>
      <w:r>
        <w:rPr>
          <w:rFonts w:ascii="Times New Roman" w:cs="Times New Roman" w:eastAsia="Times New Roman" w:hAnsi="Times New Roman"/>
          <w:sz w:val="18"/>
          <w:szCs w:val="18"/>
          <w:color w:val="auto"/>
        </w:rPr>
        <w:t xml:space="preserve"> - Notice required to be given to a shareholder where two or more persons are registered as joint holders of any share shall be sufficiently given to all of them if given to any one of them.</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 Given to Predecessors</w:t>
      </w:r>
      <w:r>
        <w:rPr>
          <w:rFonts w:ascii="Times New Roman" w:cs="Times New Roman" w:eastAsia="Times New Roman" w:hAnsi="Times New Roman"/>
          <w:sz w:val="18"/>
          <w:szCs w:val="18"/>
          <w:color w:val="auto"/>
        </w:rPr>
        <w:t xml:space="preserve"> - Every person who by transfer, death of a shareholder, operation of law or otherwise becomes entitled to shares, is bound by every notice in respect of such shares which was duly given to the registered holder of such shares from whom his title is derived prior to entry of his name and address in the records of the Corporation and prior to his providing to the Corporation the proof of authority or evidence of his entitlement as prescribed by the Act.</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Computation of Time</w:t>
      </w:r>
      <w:r>
        <w:rPr>
          <w:rFonts w:ascii="Times New Roman" w:cs="Times New Roman" w:eastAsia="Times New Roman" w:hAnsi="Times New Roman"/>
          <w:sz w:val="18"/>
          <w:szCs w:val="18"/>
          <w:color w:val="auto"/>
        </w:rPr>
        <w:t xml:space="preserve"> - In computing the date when notice must be given under any provision requiring a specified number of days’ notice of any meeting or other event, the date of giving the notice and the date of the meeting or other event shall be excluded.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Omissions and Errors</w:t>
      </w:r>
      <w:r>
        <w:rPr>
          <w:rFonts w:ascii="Times New Roman" w:cs="Times New Roman" w:eastAsia="Times New Roman" w:hAnsi="Times New Roman"/>
          <w:sz w:val="18"/>
          <w:szCs w:val="18"/>
          <w:color w:val="auto"/>
        </w:rPr>
        <w:t xml:space="preserve"> - The accidental omission to give any notice to any shareholder, director, officer, member of a committee of the board or auditor, or the non-receipt of any notice by any such person or any error in any notice not affecting its substance shall not invalidate any action taken at any meeting to which the notice pertained or otherwise founded on such notice.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 Any shareholder, proxyholder, director, officer, member of a committee of the board or auditor may waive or abridge the time for any notice required to be given him, and such waiver or abridgement, whether given before or after the meeting or other event of which notice is required to be given shall cure any default in the giving or in the time of such notice, as the case may be. Any such waiver or abridgement shall be in writing except a waiver of notice of a meeting of shareholders or of the board or of a committee of the board, which may be given in any manner.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left="4980" w:hanging="267"/>
        <w:spacing w:after="0"/>
        <w:tabs>
          <w:tab w:leader="none" w:pos="4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Subject to its being confirmed by the shareholders, this by-law shall come into force when enacted by the board, subject to the provisions of the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 NO. 2</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by-law respecting the borrowing of money,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issuing of securities and the securing of liabilities by</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(herein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 IT ENACTED </w:t>
      </w:r>
      <w:r>
        <w:rPr>
          <w:rFonts w:ascii="Times New Roman" w:cs="Times New Roman" w:eastAsia="Times New Roman" w:hAnsi="Times New Roman"/>
          <w:sz w:val="18"/>
          <w:szCs w:val="18"/>
          <w:color w:val="auto"/>
        </w:rPr>
        <w:t>as a by-law of the Corporation as follows:</w:t>
      </w:r>
    </w:p>
    <w:p>
      <w:pPr>
        <w:spacing w:after="0" w:line="229" w:lineRule="exact"/>
        <w:rPr>
          <w:sz w:val="20"/>
          <w:szCs w:val="20"/>
          <w:color w:val="auto"/>
        </w:rPr>
      </w:pPr>
    </w:p>
    <w:p>
      <w:pPr>
        <w:ind w:left="660" w:right="1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Powers</w:t>
      </w:r>
      <w:r>
        <w:rPr>
          <w:rFonts w:ascii="Times New Roman" w:cs="Times New Roman" w:eastAsia="Times New Roman" w:hAnsi="Times New Roman"/>
          <w:sz w:val="18"/>
          <w:szCs w:val="18"/>
          <w:color w:val="auto"/>
        </w:rPr>
        <w:t xml:space="preserve"> - Without limiting the borrowing powers of the Corporation as set forth in the Act, the board may, subject to the articles and any unanimous shareholder agreement, from time to time, on behalf of the Corporation, without the authorization of the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on the credit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re-issue, sell, pledge or hypothecate debt obligations of the Corporation, whether secured or unsecured;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guarantee on behalf of the Corporation to secure performance of an obligation of any person;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hypothecate, pledge or otherwise create a security interest in all or any property of the Corporation, owned or subsequently acquired, to secure any obligation of the Corporation or of any person.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Powers</w:t>
      </w:r>
      <w:r>
        <w:rPr>
          <w:rFonts w:ascii="Times New Roman" w:cs="Times New Roman" w:eastAsia="Times New Roman" w:hAnsi="Times New Roman"/>
          <w:sz w:val="18"/>
          <w:szCs w:val="18"/>
          <w:color w:val="auto"/>
        </w:rPr>
        <w:t xml:space="preserve"> - The articles, the by-laws and any unanimous shareholder agreement, the board may, from time to time, delegate any or all of the powers hereinbefore specified, to a director, a committee of directors or one or more officers of the Corporation.</w:t>
      </w:r>
    </w:p>
    <w:p>
      <w:pPr>
        <w:spacing w:after="0" w:line="161"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Subject to its being confirmed by the shareholders, this by-law shall come into force when enacted by the board, subject to the provisions of the Act.</w:t>
      </w:r>
    </w:p>
    <w:p>
      <w:pPr>
        <w:spacing w:after="0" w:line="161"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7" w:name="page48"/>
    <w:bookmarkEnd w:id="47"/>
    <w:p>
      <w:pPr>
        <w:ind w:right="320"/>
        <w:spacing w:after="0" w:line="282" w:lineRule="auto"/>
        <w:rPr>
          <w:sz w:val="20"/>
          <w:szCs w:val="20"/>
          <w:color w:val="auto"/>
        </w:rPr>
      </w:pPr>
      <w:r>
        <w:rPr>
          <w:rFonts w:ascii="Times New Roman" w:cs="Times New Roman" w:eastAsia="Times New Roman" w:hAnsi="Times New Roman"/>
          <w:sz w:val="18"/>
          <w:szCs w:val="18"/>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BY-LAW NO. 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BY-LAW NO. 3</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Advance Notice Requirement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Nomination of Directors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purpose of this By-Law No. 3 is to ensure that shareholder meetings are conducted in an orderly and efficient manner and that all shareholders have access to the same information pertaining to all directors nominated for election so they may cast an informed vote. This section imposes certain deadlines by which shareholders submitting a nominee must provide the required information for such nomination to be eligible for election at a general or special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ENACTED as a by-law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9"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by-law:</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Business Corporations Act (</w:t>
      </w:r>
      <w:r>
        <w:rPr>
          <w:rFonts w:ascii="Times New Roman" w:cs="Times New Roman" w:eastAsia="Times New Roman" w:hAnsi="Times New Roman"/>
          <w:sz w:val="18"/>
          <w:szCs w:val="18"/>
          <w:i w:val="1"/>
          <w:iCs w:val="1"/>
          <w:color w:val="auto"/>
        </w:rPr>
        <w:t>Ontario</w:t>
      </w:r>
      <w:r>
        <w:rPr>
          <w:rFonts w:ascii="Times New Roman" w:cs="Times New Roman" w:eastAsia="Times New Roman" w:hAnsi="Times New Roman"/>
          <w:sz w:val="18"/>
          <w:szCs w:val="18"/>
          <w:color w:val="auto"/>
        </w:rPr>
        <w:t>), and the regulations thereunder, as amended from time to time;</w:t>
      </w:r>
    </w:p>
    <w:p>
      <w:pPr>
        <w:spacing w:after="0" w:line="22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in respect of any person, any other person that, directly or indirectly, controls, is controlled by or is under common control with the first mentioned person; and “control” means, with respect to the definition of “Affiliate”, the possession, directly or indirectly, by a person or group of persons acting in concert of the power to direct or cause the direction of the management and policies of another person, whether through the ownership of voting securities, contract, as a partner or general partner, or otherwise;</w:t>
      </w:r>
    </w:p>
    <w:p>
      <w:pPr>
        <w:spacing w:after="0" w:line="179"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Securities Laws” means the applicable securities legislation of each province and territory of Canada, as amended from time to time, the rules and regulations made or promulgated under any such statute, and the national instruments, multilateral instruments, policies, bulletins and notices of the securities commissions and similar regulatory authorities of each province and territory of Canada;</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means the articles attached to the Articles of Incorporation, as amended or restated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Corporation;</w:t>
      </w:r>
    </w:p>
    <w:p>
      <w:pPr>
        <w:spacing w:after="0" w:line="225"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except Saturday, Sunday, any statutory holiday in the Province of Ontario, or any other day on which the principal chartered banks in the City of Toronto are closed for business.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54-101” means National Instrument 54-101 Communication with Beneficial Owners of Securities of a Reporting Issuer, as amended, supplemented, restated or replaced from time to time;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Date” means the date the Public Announcement of an annual shareholder meeting or special shareholder meeting (which is not also an annual shareholder meeting), as applicable, is made; and</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means the filing under the Corporation’s profile on the System for Electronic Document Analysis and Retrieval at www.sedar.com of the notification of meeting and record date required by section 2.2 of NI 54-101.</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9" w:name="page50"/>
    <w:bookmarkEnd w:id="49"/>
    <w:p>
      <w:pPr>
        <w:ind w:left="652" w:right="360" w:hanging="652"/>
        <w:spacing w:after="0" w:line="282"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only to the Act, the Articles and any other by-law of the Corporation, only persons who are nominated in accordance with this by-law shall be eligible for election as directors of the Corporation.</w:t>
      </w:r>
    </w:p>
    <w:p>
      <w:pPr>
        <w:spacing w:after="0" w:line="161" w:lineRule="exact"/>
        <w:rPr>
          <w:rFonts w:ascii="Times New Roman" w:cs="Times New Roman" w:eastAsia="Times New Roman" w:hAnsi="Times New Roman"/>
          <w:sz w:val="18"/>
          <w:szCs w:val="18"/>
          <w:color w:val="auto"/>
        </w:rPr>
      </w:pPr>
    </w:p>
    <w:p>
      <w:pPr>
        <w:ind w:left="652" w:right="360" w:hanging="652"/>
        <w:spacing w:after="0" w:line="282"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meeting of shareholders or any special meeting of shareholders (where one of the purposes for which such special meeting was called was the election of directors), nominations of persons for election to the Board may be made:</w:t>
      </w:r>
    </w:p>
    <w:p>
      <w:pPr>
        <w:spacing w:after="0" w:line="16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or an authorized officer of the Corporation;</w:t>
      </w:r>
    </w:p>
    <w:p>
      <w:pPr>
        <w:spacing w:after="0" w:line="221" w:lineRule="exact"/>
        <w:rPr>
          <w:rFonts w:ascii="Times New Roman" w:cs="Times New Roman" w:eastAsia="Times New Roman" w:hAnsi="Times New Roman"/>
          <w:sz w:val="18"/>
          <w:szCs w:val="18"/>
          <w:color w:val="auto"/>
        </w:rPr>
      </w:pPr>
    </w:p>
    <w:p>
      <w:pPr>
        <w:ind w:left="972" w:right="180" w:hanging="324"/>
        <w:spacing w:after="0" w:line="286"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one or more shareholders pursuant to a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made in accordance with the provisions of the Act, or a requisition by one or more of the shareholders made in accordance with the provisions of the Act; or</w:t>
      </w:r>
    </w:p>
    <w:p>
      <w:pPr>
        <w:spacing w:after="0" w:line="154" w:lineRule="exact"/>
        <w:rPr>
          <w:rFonts w:ascii="Times New Roman" w:cs="Times New Roman" w:eastAsia="Times New Roman" w:hAnsi="Times New Roman"/>
          <w:sz w:val="18"/>
          <w:szCs w:val="18"/>
          <w:color w:val="auto"/>
        </w:rPr>
      </w:pPr>
    </w:p>
    <w:p>
      <w:pPr>
        <w:ind w:left="972" w:right="40" w:hanging="324"/>
        <w:spacing w:after="0" w:line="268"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person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who at the close of business on the date of the giving of the notice provided for below and at the close of business on the record date for notice of such meeting, is a registered or beneficial holder of one or more shares carrying the right to vote at such meeting, and who complies with the timing and notice procedures set forth below in this by-law.</w:t>
      </w:r>
    </w:p>
    <w:p>
      <w:pPr>
        <w:spacing w:after="0" w:line="174" w:lineRule="exact"/>
        <w:rPr>
          <w:rFonts w:ascii="Times New Roman" w:cs="Times New Roman" w:eastAsia="Times New Roman" w:hAnsi="Times New Roman"/>
          <w:sz w:val="18"/>
          <w:szCs w:val="18"/>
          <w:color w:val="auto"/>
        </w:rPr>
      </w:pPr>
    </w:p>
    <w:p>
      <w:pPr>
        <w:ind w:left="652" w:right="20" w:hanging="652"/>
        <w:spacing w:after="0" w:line="266"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requirements under applicable law, the Articles and any other by-law of the Corporation, for a nomination to be made by a Nominating Shareholder, the Nominating Shareholder must have given notice thereof that is both timely (in accordance with section 5) and in proper written form (in accordance with section 6) to the Secretary of the Corporation.</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Nominating Shareholder’s notice to the Secretary of the Corporation must be made:</w:t>
      </w:r>
    </w:p>
    <w:p>
      <w:pPr>
        <w:spacing w:after="0" w:line="225" w:lineRule="exact"/>
        <w:rPr>
          <w:rFonts w:ascii="Times New Roman" w:cs="Times New Roman" w:eastAsia="Times New Roman" w:hAnsi="Times New Roman"/>
          <w:sz w:val="18"/>
          <w:szCs w:val="18"/>
          <w:color w:val="auto"/>
        </w:rPr>
      </w:pPr>
    </w:p>
    <w:p>
      <w:pPr>
        <w:ind w:left="972" w:right="60" w:hanging="324"/>
        <w:spacing w:after="0" w:line="261"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of shareholders, not fewer than 30 days nor more than 65 days prior to the date of the annual meeting of shareholders (but in any event, not prior to the Notice Date); provided, however, that in the event such meeting is called for a date that is fewer than 50 days after the Notice Date, notice by the Nominating Shareholder must be made not later than the close of business on the 10th day following the Notice Date; or</w:t>
      </w:r>
    </w:p>
    <w:p>
      <w:pPr>
        <w:spacing w:after="0" w:line="179" w:lineRule="exact"/>
        <w:rPr>
          <w:rFonts w:ascii="Times New Roman" w:cs="Times New Roman" w:eastAsia="Times New Roman" w:hAnsi="Times New Roman"/>
          <w:sz w:val="18"/>
          <w:szCs w:val="18"/>
          <w:color w:val="auto"/>
        </w:rPr>
      </w:pPr>
    </w:p>
    <w:p>
      <w:pPr>
        <w:ind w:left="972" w:right="120" w:hanging="324"/>
        <w:spacing w:after="0" w:line="282"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of shareholders (which is not also an annual shareholder meeting) called for the purpose of electing directors (whether or not also called for other purposes), not later than the close of business on the 15th day following the Notice Date.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Nominating Shareholder’s notice to the Secretary of the Corporation must set forth:</w:t>
      </w:r>
    </w:p>
    <w:p>
      <w:pPr>
        <w:spacing w:after="0" w:line="225" w:lineRule="exact"/>
        <w:rPr>
          <w:rFonts w:ascii="Times New Roman" w:cs="Times New Roman" w:eastAsia="Times New Roman" w:hAnsi="Times New Roman"/>
          <w:sz w:val="18"/>
          <w:szCs w:val="18"/>
          <w:color w:val="auto"/>
        </w:rPr>
      </w:pPr>
    </w:p>
    <w:p>
      <w:pPr>
        <w:ind w:left="972" w:right="20" w:hanging="324"/>
        <w:spacing w:after="0" w:line="256"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Nominating Shareholder proposes to nominate for election as a director: (i) the name, age, citizenship, business address and residential address of the person; (ii) the principal occupation or employment of the person; (iii) the class or series and number of shares in the capital of the Corporation which are controlled or directed or which are owned beneficially, directly or indirectly, or of record by the person as of the record date for notice of the meeting of shareholders (if such date shall have occurred) and as of the date of such notice; and (iv) any other information relating to the person that would be required to be disclosed in a dissident’s proxy circular in connection with solicitations of proxies for election of directors pursuant to the Act and Applicable Securities Laws; and</w:t>
      </w:r>
    </w:p>
    <w:p>
      <w:pPr>
        <w:spacing w:after="0" w:line="187" w:lineRule="exact"/>
        <w:rPr>
          <w:rFonts w:ascii="Times New Roman" w:cs="Times New Roman" w:eastAsia="Times New Roman" w:hAnsi="Times New Roman"/>
          <w:sz w:val="18"/>
          <w:szCs w:val="18"/>
          <w:color w:val="auto"/>
        </w:rPr>
      </w:pPr>
    </w:p>
    <w:p>
      <w:pPr>
        <w:ind w:left="972" w:hanging="324"/>
        <w:spacing w:after="0" w:line="254"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Nominating Shareholder (which, for the purpose of this subsection (a), includes the Nominating Shareholder’s Affiliates): (i) the class or series and number of shares in the capital of the Corporation which are controlled or directed or which are owned beneficially, directly or indirectly, or of record by the Nominating Shareholder as of the record date for notice of the meeting of shareholders (if such date shall have occurred) and as of the date of such notice; (ii) full particulars regarding any proxy, contract, agreement, arrangement, understanding or relationship pursuant to which such Nominating Shareholder has a right to vote any shares of the Corporation; (iii) full particulars of any derivatives, hedges or other economic or voting interests (including short positions) relating to the Nominating Shareholder’s interest in shares in the capital of the Corporation; and (iv) any other information relating to such Nominating Shareholder that would be required to be made in a dissident’s proxy circular in connection with solicitations of proxies for election of directors pursuant to the Act and Applicable Securities Laws.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50" w:name="page51"/>
    <w:bookmarkEnd w:id="50"/>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may reasonably be required by the Corporation to determine the eligibility of such proposed nominee to serve as a director of the Corporation or that could be material to a reasonable shareholder’s understanding of the independence, or lack thereof, of such proposed nominee. The Corporation may also require any proposed nominee to provide the Corporation with a written consent to be named as a nominee and to act as a director, if elected.</w:t>
      </w:r>
    </w:p>
    <w:p>
      <w:pPr>
        <w:spacing w:after="0" w:line="180" w:lineRule="exact"/>
        <w:rPr>
          <w:sz w:val="20"/>
          <w:szCs w:val="20"/>
          <w:color w:val="auto"/>
        </w:rPr>
      </w:pPr>
    </w:p>
    <w:p>
      <w:pPr>
        <w:ind w:left="660" w:right="4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provisions of this by-law; provided, however, that nothing in this by-law shall be deemed to preclude discussion by a shareholder (as distinct from nominating directors) at a meeting of shareholders of any matter that is properly before such meeting pursuant to the provisions of the Act or the discretion of the Chairman of the meeting.</w:t>
      </w:r>
    </w:p>
    <w:p>
      <w:pPr>
        <w:spacing w:after="0" w:line="179"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have the power and duty to determine whether a nomination was made in accordance with the procedures set forth in this by-law and, if any proposed nomination is not in compliance with the procedures set forth in this by-law, to declare that such defective nomination shall be disregarded.</w:t>
      </w:r>
    </w:p>
    <w:p>
      <w:pPr>
        <w:spacing w:after="0" w:line="175" w:lineRule="exact"/>
        <w:rPr>
          <w:rFonts w:ascii="Times New Roman" w:cs="Times New Roman" w:eastAsia="Times New Roman" w:hAnsi="Times New Roman"/>
          <w:sz w:val="18"/>
          <w:szCs w:val="18"/>
          <w:color w:val="auto"/>
        </w:rPr>
      </w:pPr>
    </w:p>
    <w:p>
      <w:pPr>
        <w:ind w:left="660" w:right="60" w:hanging="652"/>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given to the Secretary of the Corporation pursuant to this by-law may only be given by personal delivery, facsimile or email (at such fax number or email address as set forth on the Corporation’s profile on the System for Electronic Document Analysis and Retrieval at www.sedar.com), and shall be deemed to have been given and made (i) if personally delivered, only at the time it is served by personal delivery to the Secretary of the Corporation at the principal executive office of the Corporation or (ii) if transmitted by facsimile or email, if sent before 5:00 p.m. (Toronto time) on a Business Day, on such Business Day, and otherwise on the next Business Day.</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Board may, in its sole discretion, waive any requirement in this by-law.</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by-law shall come into force when enacted by the Board in accordance with the Act.</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ind w:left="1260"/>
              <w:spacing w:after="0" w:line="182" w:lineRule="exact"/>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right"/>
              <w:ind w:right="16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BY-LAW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Requirements for Complaints under the U.S. Securities Act of 1933</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purpose of this By-Law No. 4 is to provide that the federal district courts of the United States of America will be the exclusive forum for resolving any complaint asserting a cause of action arising under the Securities Act or the rules and regulations thereunder. Section 27 of the Exchange Act creates exclusive jurisdiction of the federal district courts of the United States of America over all suits brought to enforce any duty or liability created by the Exchange Act or the rules and regulations thereunder (including the general anti-fraud provisions thereof and thereunder), whereas Section 22 of the Securities Act creates concurrent jurisdiction for United States federal and state courts over all suits brought to enforce any duty or liability created by the Securities Act or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ENACTED as a by-law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9" w:lineRule="exact"/>
        <w:rPr>
          <w:sz w:val="20"/>
          <w:szCs w:val="20"/>
          <w:color w:val="auto"/>
        </w:rPr>
      </w:pPr>
    </w:p>
    <w:p>
      <w:pPr>
        <w:ind w:left="500" w:hanging="492"/>
        <w:spacing w:after="0" w:line="261"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U.S. Securities Act of 1933, as amended, or any of the rules and regulations thereunder. Any person or entity purchasing or otherwise acquiring any interest in any security of the Corporation shall be deemed to have notice of and consented to this provision.</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by-law shall come into force when enacted by the Board in accordance with the Act.</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ind w:left="1240"/>
              <w:spacing w:after="0" w:line="182" w:lineRule="exact"/>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925"/>
        </w:trPr>
        <w:tc>
          <w:tcPr>
            <w:tcW w:w="7440" w:type="dxa"/>
            <w:vAlign w:val="bottom"/>
            <w:tcBorders>
              <w:bottom w:val="single" w:sz="8" w:color="auto"/>
            </w:tcBorders>
            <w:gridSpan w:val="4"/>
          </w:tcPr>
          <w:p>
            <w:pPr>
              <w:jc w:val="right"/>
              <w:ind w:right="16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INCENTIVE PLAN</w:t>
      </w:r>
    </w:p>
    <w:p>
      <w:pPr>
        <w:spacing w:after="0" w:line="225" w:lineRule="exact"/>
        <w:rPr>
          <w:sz w:val="20"/>
          <w:szCs w:val="20"/>
          <w:color w:val="auto"/>
        </w:rPr>
      </w:pPr>
    </w:p>
    <w:p>
      <w:pPr>
        <w:ind w:right="80" w:firstLine="656"/>
        <w:spacing w:after="0" w:line="255" w:lineRule="auto"/>
        <w:tabs>
          <w:tab w:leader="none" w:pos="8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Stronghold Digital Mining, Inc. Omnibus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provide a means through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Digital Mining,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Affiliates may attract, retain and motivate qualified persons as employees, directors and consultants, thereby enhancing the profitable growth of the Company and the Affiliates and (b) persons upon whom the responsibilities of the successful administration and management of the Company and the Affiliates rest, and whose present and potential contributions to the Company and the Affiliates are of importance, can acquire and maintain stock ownership or awards the value of which is tied to the performance of the Company, thereby strengthening their concern for the Company and the Affiliates. Accordingly, the Plan provides for the grant of Options, SARs, Restricted Stock, Restricted Stock Units, Stock Awards, Dividend Equivalents, Other Stock-Based Awards, Cash Awards, Substitute Awards, or any combination of the foregoing, as determined by the Committee in its sole discretion.</w:t>
      </w:r>
    </w:p>
    <w:p>
      <w:pPr>
        <w:spacing w:after="0" w:line="18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the Plan, the following terms shall be defined as set forth below:</w:t>
      </w:r>
    </w:p>
    <w:p>
      <w:pPr>
        <w:spacing w:after="0" w:line="225" w:lineRule="exact"/>
        <w:rPr>
          <w:rFonts w:ascii="Times New Roman" w:cs="Times New Roman" w:eastAsia="Times New Roman" w:hAnsi="Times New Roman"/>
          <w:sz w:val="18"/>
          <w:szCs w:val="18"/>
          <w:color w:val="auto"/>
        </w:rPr>
      </w:pPr>
    </w:p>
    <w:p>
      <w:pPr>
        <w:ind w:right="40" w:firstLine="1304"/>
        <w:spacing w:after="0" w:line="257" w:lineRule="auto"/>
        <w:tabs>
          <w:tab w:leader="none" w:pos="15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82" w:lineRule="exact"/>
        <w:rPr>
          <w:rFonts w:ascii="Times New Roman" w:cs="Times New Roman" w:eastAsia="Times New Roman" w:hAnsi="Times New Roman"/>
          <w:sz w:val="18"/>
          <w:szCs w:val="18"/>
          <w:color w:val="auto"/>
        </w:rPr>
      </w:pPr>
    </w:p>
    <w:p>
      <w:pPr>
        <w:ind w:right="200" w:firstLine="1304"/>
        <w:spacing w:after="0" w:line="286" w:lineRule="auto"/>
        <w:tabs>
          <w:tab w:leader="none" w:pos="15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ASC Topic 718</w:t>
      </w:r>
      <w:r>
        <w:rPr>
          <w:rFonts w:ascii="Times New Roman" w:cs="Times New Roman" w:eastAsia="Times New Roman" w:hAnsi="Times New Roman"/>
          <w:sz w:val="18"/>
          <w:szCs w:val="18"/>
          <w:color w:val="auto"/>
        </w:rPr>
        <w:t xml:space="preserve">” means the Financial Accounting Standards Board Accounting Standards Codification Topic 718,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 amended or any successor accounting standard.</w:t>
      </w:r>
    </w:p>
    <w:p>
      <w:pPr>
        <w:spacing w:after="0" w:line="154" w:lineRule="exact"/>
        <w:rPr>
          <w:rFonts w:ascii="Times New Roman" w:cs="Times New Roman" w:eastAsia="Times New Roman" w:hAnsi="Times New Roman"/>
          <w:sz w:val="18"/>
          <w:szCs w:val="18"/>
          <w:color w:val="auto"/>
        </w:rPr>
      </w:pPr>
    </w:p>
    <w:p>
      <w:pPr>
        <w:ind w:right="300" w:firstLine="1304"/>
        <w:spacing w:after="0" w:line="286" w:lineRule="auto"/>
        <w:tabs>
          <w:tab w:leader="none" w:pos="15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Option, SAR, Restricted Stock, Restricted Stock Unit, Stock Award, Dividend Equivalent, Other Stock-Based Award, Cash Award, or Substitute Award, together with any other right or interest, granted under the Plan.</w:t>
      </w:r>
    </w:p>
    <w:p>
      <w:pPr>
        <w:spacing w:after="0" w:line="154" w:lineRule="exact"/>
        <w:rPr>
          <w:rFonts w:ascii="Times New Roman" w:cs="Times New Roman" w:eastAsia="Times New Roman" w:hAnsi="Times New Roman"/>
          <w:sz w:val="18"/>
          <w:szCs w:val="18"/>
          <w:color w:val="auto"/>
        </w:rPr>
      </w:pPr>
    </w:p>
    <w:p>
      <w:pPr>
        <w:ind w:right="220" w:firstLine="1304"/>
        <w:spacing w:after="0" w:line="286" w:lineRule="auto"/>
        <w:tabs>
          <w:tab w:leader="none" w:pos="15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any written instrument (including any employment, severance or change in control agreement) that sets forth the terms, conditions, restrictions and/or limitations applicable to an Award, in addition to those set forth under the Plan.</w:t>
      </w:r>
    </w:p>
    <w:p>
      <w:pPr>
        <w:spacing w:after="0" w:line="15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Award</w:t>
      </w:r>
      <w:r>
        <w:rPr>
          <w:rFonts w:ascii="Times New Roman" w:cs="Times New Roman" w:eastAsia="Times New Roman" w:hAnsi="Times New Roman"/>
          <w:sz w:val="18"/>
          <w:szCs w:val="18"/>
          <w:color w:val="auto"/>
        </w:rPr>
        <w:t xml:space="preserve">” means an Award denominated in cash granted under </w:t>
      </w:r>
      <w:r>
        <w:rPr>
          <w:rFonts w:ascii="Times New Roman" w:cs="Times New Roman" w:eastAsia="Times New Roman" w:hAnsi="Times New Roman"/>
          <w:sz w:val="18"/>
          <w:szCs w:val="18"/>
          <w:u w:val="single" w:color="auto"/>
          <w:color w:val="auto"/>
        </w:rPr>
        <w:t>Section 6(i)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right="320" w:firstLine="1304"/>
        <w:spacing w:after="0" w:line="286"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except as otherwise provided in an Award Agreement, the occurrence of any of the following events after the Effective Date:</w:t>
      </w:r>
    </w:p>
    <w:p>
      <w:pPr>
        <w:spacing w:after="0" w:line="158" w:lineRule="exact"/>
        <w:rPr>
          <w:rFonts w:ascii="Times New Roman" w:cs="Times New Roman" w:eastAsia="Times New Roman" w:hAnsi="Times New Roman"/>
          <w:sz w:val="18"/>
          <w:szCs w:val="18"/>
          <w:color w:val="auto"/>
        </w:rPr>
      </w:pPr>
    </w:p>
    <w:p>
      <w:pPr>
        <w:ind w:right="20" w:firstLine="1952"/>
        <w:spacing w:after="0" w:line="255" w:lineRule="auto"/>
        <w:tabs>
          <w:tab w:leader="none" w:pos="21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Exchange Act) of beneficial ownership (within the meaning of Rule 13d-3 promulgated under the Exchange Act) of 50% or more of either (x) the then-outstanding shares of Stock (the “</w:t>
      </w:r>
      <w:r>
        <w:rPr>
          <w:rFonts w:ascii="Times New Roman" w:cs="Times New Roman" w:eastAsia="Times New Roman" w:hAnsi="Times New Roman"/>
          <w:sz w:val="18"/>
          <w:szCs w:val="18"/>
          <w:b w:val="1"/>
          <w:bCs w:val="1"/>
          <w:i w:val="1"/>
          <w:iCs w:val="1"/>
          <w:color w:val="auto"/>
        </w:rPr>
        <w:t>Outstanding Stock</w:t>
      </w:r>
      <w:r>
        <w:rPr>
          <w:rFonts w:ascii="Times New Roman" w:cs="Times New Roman" w:eastAsia="Times New Roman" w:hAnsi="Times New Roman"/>
          <w:sz w:val="18"/>
          <w:szCs w:val="18"/>
          <w:color w:val="auto"/>
        </w:rPr>
        <w:t>”) or (y) the combined voting power of the then-outstanding voting securities of the Company entitled to vote generally in the election of directors (the “</w:t>
      </w:r>
      <w:r>
        <w:rPr>
          <w:rFonts w:ascii="Times New Roman" w:cs="Times New Roman" w:eastAsia="Times New Roman" w:hAnsi="Times New Roman"/>
          <w:sz w:val="18"/>
          <w:szCs w:val="18"/>
          <w:b w:val="1"/>
          <w:bCs w:val="1"/>
          <w:i w:val="1"/>
          <w:iCs w:val="1"/>
          <w:color w:val="auto"/>
        </w:rPr>
        <w:t>Outstanding Company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clause (i), the following acquisitions shall not constitute a Change in Control: (A) any acquisition directly from the Company, (B) any acquisition by the Company or its subsidiaries, (C) any acquisition by any employee benefit plan (or related trust) sponsored or maintained by the Company or any entity controlled by the Company or (D) any acquisition by any entity pursuant to a transaction that complies with clauses (A), (B) and (C) of clause (iii) below;</w:t>
      </w:r>
    </w:p>
    <w:p>
      <w:pPr>
        <w:spacing w:after="0" w:line="184" w:lineRule="exact"/>
        <w:rPr>
          <w:rFonts w:ascii="Times New Roman" w:cs="Times New Roman" w:eastAsia="Times New Roman" w:hAnsi="Times New Roman"/>
          <w:sz w:val="18"/>
          <w:szCs w:val="18"/>
          <w:color w:val="auto"/>
        </w:rPr>
      </w:pPr>
    </w:p>
    <w:p>
      <w:pPr>
        <w:ind w:firstLine="1952"/>
        <w:spacing w:after="0" w:line="254" w:lineRule="auto"/>
        <w:tabs>
          <w:tab w:leader="none" w:pos="220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constituting the Board on the Effective Date (the “</w:t>
      </w:r>
      <w:r>
        <w:rPr>
          <w:rFonts w:ascii="Times New Roman" w:cs="Times New Roman" w:eastAsia="Times New Roman" w:hAnsi="Times New Roman"/>
          <w:sz w:val="18"/>
          <w:szCs w:val="18"/>
          <w:b w:val="1"/>
          <w:bCs w:val="1"/>
          <w:i w:val="1"/>
          <w:iCs w:val="1"/>
          <w:color w:val="auto"/>
        </w:rPr>
        <w:t>Incumbent Directors</w:t>
      </w:r>
      <w:r>
        <w:rPr>
          <w:rFonts w:ascii="Times New Roman" w:cs="Times New Roman" w:eastAsia="Times New Roman" w:hAnsi="Times New Roman"/>
          <w:sz w:val="18"/>
          <w:szCs w:val="18"/>
          <w:color w:val="auto"/>
        </w:rPr>
        <w:t xml:space="preserve">”) cease for any reason (other than death or disability) to constitute at least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the Company’s stockholders was approved by a vote of at least two-thirds of the Incumbent Directors (either by a specific vote or by approval of the proxy statement of the Company in which such person is named as a nominee for director, without objection to such nomination)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which individual, for the avoidance of doubt, shall not be deemed to be an Incumbent Director for purposes of this definition, regardless of whether such individual was approved by a vote of at least two-thirds of the Incumbent Directors;</w:t>
      </w:r>
    </w:p>
    <w:p>
      <w:pPr>
        <w:spacing w:after="0" w:line="192" w:lineRule="exact"/>
        <w:rPr>
          <w:rFonts w:ascii="Times New Roman" w:cs="Times New Roman" w:eastAsia="Times New Roman" w:hAnsi="Times New Roman"/>
          <w:sz w:val="18"/>
          <w:szCs w:val="18"/>
          <w:color w:val="auto"/>
        </w:rPr>
      </w:pPr>
    </w:p>
    <w:p>
      <w:pPr>
        <w:ind w:right="60" w:firstLine="1952"/>
        <w:spacing w:after="0" w:line="252" w:lineRule="auto"/>
        <w:tabs>
          <w:tab w:leader="none" w:pos="22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or sale or other disposition of all or substantially all of the assets of the Company or an acquisition of assets of another entity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(A) the Outstanding Stock and Outstanding Company Voting Securities immediately prior to such Business Combination represent or are converted into or exchanged for securities which represent or are convertible into more than 50% of, respectively, the then-outstanding shares of common stock or common equity interests and the combined voting power of the then-outstanding voting securities entitled to vote generally in the election of directors or other governing body, as the case may be, of the entity resulting from such Business Combination (including, without limitation, an entity which as a result of such transaction owns the Company, or all or substantially all of the Company’s assets either directly or through one or more subsidiaries), (B) no individual, entity or group (within the meaning of Section 13(d)(3) or 14(d)(2) of the Exchange Act), excluding the Company, its subsidiaries and any employee benefit plan (or related trust) sponsored or maintained by the Company or the entity resulting from such Business Combination (or any entity controlled by either the Company or the entity resulting from such Business Combination), beneficially owns, directly or indirectly, 50% or more of, respectively, the then-outstanding shares of common stock or common equity interests of the entity resulting from such Business Combination or the combined voting power of the then-outstanding voting securities entitled to vote generally in the election of directors or other governing body of such entity except to the extent that such ownership results solely from direct or indirect ownership of the Company that existed prior to the Business Combination, and (C) at least a majority of the members of the board of directors or similar governing body of the entity resulting from such Business Combination were Incumbent Directors at the time of the execution of the initial agreement, or of the action of the Board, providing for such Business Combination;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1960"/>
        <w:spacing w:after="0"/>
        <w:rPr>
          <w:sz w:val="20"/>
          <w:szCs w:val="20"/>
          <w:color w:val="auto"/>
        </w:rPr>
      </w:pPr>
      <w:r>
        <w:rPr>
          <w:rFonts w:ascii="Times New Roman" w:cs="Times New Roman" w:eastAsia="Times New Roman" w:hAnsi="Times New Roman"/>
          <w:sz w:val="18"/>
          <w:szCs w:val="18"/>
          <w:color w:val="auto"/>
        </w:rPr>
        <w:t>(iv) Approval by the stockholders of the Company of a complete liquidation or dissolution of the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provision of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for purposes of an Award that provides for a deferral of compensation under the Nonqualified Deferred Compensation Rules, to the extent the impact of a Change in Control on such Award would subject a Participant to additional taxes under the Nonqualified Deferred Compensation Rules, a Change in Control described in subsection (i), (ii), (iii) or (iv) above with respect to such Award will mean both a Change in Control and a “change in the ownership of a corporation,” “change in the effective control of a corporation,” or a “change in the ownership of a substantial portion of a corporation’s assets” within the meaning of the Nonqualified Deferred Compensation Rules as applied to the Company.</w:t>
      </w:r>
    </w:p>
    <w:p>
      <w:pPr>
        <w:spacing w:after="0" w:line="179" w:lineRule="exact"/>
        <w:rPr>
          <w:sz w:val="20"/>
          <w:szCs w:val="20"/>
          <w:color w:val="auto"/>
        </w:rPr>
      </w:pPr>
    </w:p>
    <w:p>
      <w:pPr>
        <w:ind w:right="20" w:firstLine="1304"/>
        <w:spacing w:after="0" w:line="254"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Price</w:t>
      </w:r>
      <w:r>
        <w:rPr>
          <w:rFonts w:ascii="Times New Roman" w:cs="Times New Roman" w:eastAsia="Times New Roman" w:hAnsi="Times New Roman"/>
          <w:sz w:val="18"/>
          <w:szCs w:val="18"/>
          <w:color w:val="auto"/>
        </w:rPr>
        <w:t xml:space="preserve">” means the amount determined in the following clause (i), (ii), (iii), (iv) or (v), whichever the Committee determines is applicable, as follows: (i) the price per share offered to holders of Stock in any merger or consolidation, (ii) the per share Fair Market Value of the Stock immediately before the Change in Control or other event without regard to assets sold in the Change in Control or other event and assuming the Company has received the consideration paid for the assets in the case of a sale of the assets, (iii) the amount distributed per share of Stock in a dissolution transaction, (iv) the price per share offered to holders of Stock in any tender offer or exchange offer whereby a Change in Control or other event takes place, or (v) if such Change in Control or other event occurs other than pursuant to a transaction described in clauses (i), (ii), (iii), or (iv) of this </w:t>
      </w:r>
      <w:r>
        <w:rPr>
          <w:rFonts w:ascii="Times New Roman" w:cs="Times New Roman" w:eastAsia="Times New Roman" w:hAnsi="Times New Roman"/>
          <w:sz w:val="18"/>
          <w:szCs w:val="18"/>
          <w:u w:val="single" w:color="auto"/>
          <w:color w:val="auto"/>
        </w:rPr>
        <w:t>Section 2(h)</w:t>
      </w:r>
      <w:r>
        <w:rPr>
          <w:rFonts w:ascii="Times New Roman" w:cs="Times New Roman" w:eastAsia="Times New Roman" w:hAnsi="Times New Roman"/>
          <w:sz w:val="18"/>
          <w:szCs w:val="18"/>
          <w:color w:val="auto"/>
        </w:rPr>
        <w:t xml:space="preserve">, the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of the Company in any transaction described in this </w:t>
      </w:r>
      <w:r>
        <w:rPr>
          <w:rFonts w:ascii="Times New Roman" w:cs="Times New Roman" w:eastAsia="Times New Roman" w:hAnsi="Times New Roman"/>
          <w:sz w:val="18"/>
          <w:szCs w:val="18"/>
          <w:u w:val="single" w:color="auto"/>
          <w:color w:val="auto"/>
        </w:rPr>
        <w:t>Section 2(h)</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182" w:lineRule="exact"/>
        <w:rPr>
          <w:rFonts w:ascii="Times New Roman" w:cs="Times New Roman" w:eastAsia="Times New Roman" w:hAnsi="Times New Roman"/>
          <w:sz w:val="18"/>
          <w:szCs w:val="18"/>
          <w:color w:val="auto"/>
        </w:rPr>
      </w:pPr>
    </w:p>
    <w:p>
      <w:pPr>
        <w:ind w:right="40" w:firstLine="1304"/>
        <w:spacing w:after="0" w:line="286" w:lineRule="auto"/>
        <w:tabs>
          <w:tab w:leader="none" w:pos="15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from time to time, including the guidance and regulations promulgated thereunder and successor provisions, guidance and regulations thereto.</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40" w:right="260" w:firstLine="1304"/>
        <w:spacing w:after="0" w:line="286" w:lineRule="auto"/>
        <w:tabs>
          <w:tab w:leader="none" w:pos="14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means a committee of two or more directors designated by the Board to administer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otherwise determined by the Board, the Committee shall consist solely of two or more Qualified Members.</w:t>
      </w:r>
    </w:p>
    <w:p>
      <w:pPr>
        <w:spacing w:after="0" w:line="154" w:lineRule="exact"/>
        <w:rPr>
          <w:rFonts w:ascii="Times New Roman" w:cs="Times New Roman" w:eastAsia="Times New Roman" w:hAnsi="Times New Roman"/>
          <w:sz w:val="18"/>
          <w:szCs w:val="18"/>
          <w:color w:val="auto"/>
        </w:rPr>
      </w:pPr>
    </w:p>
    <w:p>
      <w:pPr>
        <w:ind w:left="-40" w:right="80" w:firstLine="1304"/>
        <w:spacing w:after="0" w:line="286" w:lineRule="auto"/>
        <w:tabs>
          <w:tab w:leader="none" w:pos="15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w:t>
      </w:r>
      <w:r>
        <w:rPr>
          <w:rFonts w:ascii="Times New Roman" w:cs="Times New Roman" w:eastAsia="Times New Roman" w:hAnsi="Times New Roman"/>
          <w:sz w:val="18"/>
          <w:szCs w:val="18"/>
          <w:color w:val="auto"/>
        </w:rPr>
        <w:t xml:space="preserve">” means a right, granted to an Eligible Person under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to receive cash, Stock, other Awards or other property equal in value to dividends paid with respect to a specified number of shares of Stock, or other periodic payments.</w:t>
      </w:r>
    </w:p>
    <w:p>
      <w:pPr>
        <w:spacing w:after="0" w:line="154" w:lineRule="exact"/>
        <w:rPr>
          <w:rFonts w:ascii="Times New Roman" w:cs="Times New Roman" w:eastAsia="Times New Roman" w:hAnsi="Times New Roman"/>
          <w:sz w:val="18"/>
          <w:szCs w:val="18"/>
          <w:color w:val="auto"/>
        </w:rPr>
      </w:pPr>
    </w:p>
    <w:p>
      <w:pPr>
        <w:ind w:left="1480" w:hanging="216"/>
        <w:spacing w:after="0"/>
        <w:tabs>
          <w:tab w:leader="none" w:pos="1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the Plan is approved by the Board and the Company’s stockholders.</w:t>
      </w:r>
    </w:p>
    <w:p>
      <w:pPr>
        <w:spacing w:after="0" w:line="225" w:lineRule="exact"/>
        <w:rPr>
          <w:rFonts w:ascii="Times New Roman" w:cs="Times New Roman" w:eastAsia="Times New Roman" w:hAnsi="Times New Roman"/>
          <w:sz w:val="18"/>
          <w:szCs w:val="18"/>
          <w:color w:val="auto"/>
        </w:rPr>
      </w:pPr>
    </w:p>
    <w:p>
      <w:pPr>
        <w:ind w:left="-40" w:firstLine="1304"/>
        <w:spacing w:after="0" w:line="262" w:lineRule="auto"/>
        <w:tabs>
          <w:tab w:leader="none" w:pos="15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Person</w:t>
      </w:r>
      <w:r>
        <w:rPr>
          <w:rFonts w:ascii="Times New Roman" w:cs="Times New Roman" w:eastAsia="Times New Roman" w:hAnsi="Times New Roman"/>
          <w:sz w:val="18"/>
          <w:szCs w:val="18"/>
          <w:color w:val="auto"/>
        </w:rPr>
        <w:t xml:space="preserve">” means any individual who, as of the date of grant of an Award, is an officer or employee of the Company or of any Affiliate, and any other person who provides services to the Company or any Affiliate, including directors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individual must be an “employee” of the Company or any of its parents or subsidiaries within the meaning of General Instruction A.1(a) to Form S-8 if such individual is granted an Award that may be settled in Stock. An employee on leave of absence may be an Eligible Person.</w:t>
      </w:r>
    </w:p>
    <w:p>
      <w:pPr>
        <w:spacing w:after="0" w:line="176" w:lineRule="exact"/>
        <w:rPr>
          <w:rFonts w:ascii="Times New Roman" w:cs="Times New Roman" w:eastAsia="Times New Roman" w:hAnsi="Times New Roman"/>
          <w:sz w:val="18"/>
          <w:szCs w:val="18"/>
          <w:color w:val="auto"/>
        </w:rPr>
      </w:pPr>
    </w:p>
    <w:p>
      <w:pPr>
        <w:ind w:left="-40" w:right="560" w:firstLine="1304"/>
        <w:spacing w:after="0" w:line="286" w:lineRule="auto"/>
        <w:tabs>
          <w:tab w:leader="none" w:pos="15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 including the guidance, rules and regulations promulgated thereunder and successor provisions, guidance, rules and regulations thereto.</w:t>
      </w:r>
    </w:p>
    <w:p>
      <w:pPr>
        <w:spacing w:after="0" w:line="154"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5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of a share of Stock means, as of any specified date, (i) if the Stock is listed on a national securities exchange, the closing sales price of the Stock, as reported on the stock exchange composite tape on that date (or if no sales occur on such date, on the last preceding date on which such sales of the Stock are so reported); (ii) if the Stock is not traded on a national securities exchange but is traded over the counter on such date, the average between the reported high and low bid and asked prices of Stock on the most recent date on which Stock was publicly traded on or preceding the specified date;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the Nonqualified Deferred Compensation Rules. Notwithstanding this definition of Fair Market Value, with respect to one or more Award types, or for any other purpose for which the Committee must determine the Fair Market Value under the Plan, the Committee may elect to choose a different measurement date or methodology for determining Fair Market Value so long as the determination is consistent with the Nonqualified Deferred Compensation Rules and all other applicable laws and regulations.</w:t>
      </w:r>
    </w:p>
    <w:p>
      <w:pPr>
        <w:spacing w:after="0" w:line="185" w:lineRule="exact"/>
        <w:rPr>
          <w:rFonts w:ascii="Times New Roman" w:cs="Times New Roman" w:eastAsia="Times New Roman" w:hAnsi="Times New Roman"/>
          <w:sz w:val="18"/>
          <w:szCs w:val="18"/>
          <w:color w:val="auto"/>
        </w:rPr>
      </w:pPr>
    </w:p>
    <w:p>
      <w:pPr>
        <w:ind w:left="1520" w:hanging="256"/>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means an Option intended to be and designated as an “incentive stock option” within the meaning of Section 422 of the Code.</w:t>
      </w:r>
    </w:p>
    <w:p>
      <w:pPr>
        <w:spacing w:after="0" w:line="225" w:lineRule="exact"/>
        <w:rPr>
          <w:rFonts w:ascii="Times New Roman" w:cs="Times New Roman" w:eastAsia="Times New Roman" w:hAnsi="Times New Roman"/>
          <w:sz w:val="18"/>
          <w:szCs w:val="18"/>
          <w:color w:val="auto"/>
        </w:rPr>
      </w:pPr>
    </w:p>
    <w:p>
      <w:pPr>
        <w:ind w:left="-40" w:right="320" w:firstLine="1304"/>
        <w:spacing w:after="0" w:line="286" w:lineRule="auto"/>
        <w:tabs>
          <w:tab w:leader="none" w:pos="15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Nonqualified Deferred Compensation Rules</w:t>
      </w:r>
      <w:r>
        <w:rPr>
          <w:rFonts w:ascii="Times New Roman" w:cs="Times New Roman" w:eastAsia="Times New Roman" w:hAnsi="Times New Roman"/>
          <w:sz w:val="18"/>
          <w:szCs w:val="18"/>
          <w:color w:val="auto"/>
        </w:rPr>
        <w:t>” means the limitations and requirements of Section 409A of the Code, as amended from time to time, including the guidance and regulations promulgated thereunder and successor provisions, guidance and regulations thereto.</w:t>
      </w:r>
    </w:p>
    <w:p>
      <w:pPr>
        <w:spacing w:after="0" w:line="154" w:lineRule="exact"/>
        <w:rPr>
          <w:rFonts w:ascii="Times New Roman" w:cs="Times New Roman" w:eastAsia="Times New Roman" w:hAnsi="Times New Roman"/>
          <w:sz w:val="18"/>
          <w:szCs w:val="18"/>
          <w:color w:val="auto"/>
        </w:rPr>
      </w:pPr>
    </w:p>
    <w:p>
      <w:pPr>
        <w:ind w:left="1480" w:hanging="216"/>
        <w:spacing w:after="0"/>
        <w:tabs>
          <w:tab w:leader="none" w:pos="1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Option</w:t>
      </w:r>
      <w:r>
        <w:rPr>
          <w:rFonts w:ascii="Times New Roman" w:cs="Times New Roman" w:eastAsia="Times New Roman" w:hAnsi="Times New Roman"/>
          <w:sz w:val="18"/>
          <w:szCs w:val="18"/>
          <w:color w:val="auto"/>
        </w:rPr>
        <w:t>” means an Option that is not an ISO.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0" w:right="359" w:bottom="1440" w:gutter="0" w:footer="0" w:header="0"/>
        </w:sectPr>
      </w:pPr>
    </w:p>
    <w:bookmarkStart w:id="56" w:name="page57"/>
    <w:bookmarkEnd w:id="56"/>
    <w:p>
      <w:pPr>
        <w:ind w:right="120" w:firstLine="1304"/>
        <w:spacing w:after="0" w:line="286" w:lineRule="auto"/>
        <w:tabs>
          <w:tab w:leader="none" w:pos="15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means a right, granted to an Eligible Person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to purchase Stock at a specified price during specified time periods, which may either be an ISO or a Nonstatutory Option.</w:t>
      </w:r>
    </w:p>
    <w:p>
      <w:pPr>
        <w:spacing w:after="0" w:line="15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color w:val="auto"/>
        </w:rPr>
        <w:t xml:space="preserve">” means an Award granted to an Eligible Person under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304"/>
        <w:spacing w:after="0" w:line="286" w:lineRule="auto"/>
        <w:tabs>
          <w:tab w:leader="none" w:pos="15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has been granted an Award under the Plan that remains outstanding, including a person who is no longer an Eligible Person.</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Qualified Member</w:t>
      </w:r>
      <w:r>
        <w:rPr>
          <w:rFonts w:ascii="Times New Roman" w:cs="Times New Roman" w:eastAsia="Times New Roman" w:hAnsi="Times New Roman"/>
          <w:sz w:val="17"/>
          <w:szCs w:val="17"/>
          <w:color w:val="auto"/>
        </w:rPr>
        <w:t>” means a member of the Board who is (i) a “non-employee director” within the meaning of Rule 16b-3(b)(3), and</w:t>
      </w:r>
    </w:p>
    <w:p>
      <w:pPr>
        <w:spacing w:after="0" w:line="42" w:lineRule="exact"/>
        <w:rPr>
          <w:rFonts w:ascii="Times New Roman" w:cs="Times New Roman" w:eastAsia="Times New Roman" w:hAnsi="Times New Roman"/>
          <w:sz w:val="17"/>
          <w:szCs w:val="17"/>
          <w:color w:val="auto"/>
        </w:rPr>
      </w:pPr>
    </w:p>
    <w:p>
      <w:pPr>
        <w:ind w:right="20" w:firstLine="8"/>
        <w:spacing w:after="0" w:line="260"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under the listing standards or rules of the securities exchange upon which the Stock is traded, but only to the extent such independence is required in order to take the action at issue pursuant to such standards or rules.</w:t>
      </w:r>
    </w:p>
    <w:p>
      <w:pPr>
        <w:spacing w:after="0" w:line="177"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xml:space="preserve">” means Stock granted to an Eligible Person under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that is subject to certain restrictions and to a risk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w:t>
      </w:r>
    </w:p>
    <w:p>
      <w:pPr>
        <w:spacing w:after="0" w:line="202" w:lineRule="exact"/>
        <w:rPr>
          <w:rFonts w:ascii="Times New Roman" w:cs="Times New Roman" w:eastAsia="Times New Roman" w:hAnsi="Times New Roman"/>
          <w:sz w:val="18"/>
          <w:szCs w:val="18"/>
          <w:color w:val="auto"/>
        </w:rPr>
      </w:pPr>
    </w:p>
    <w:p>
      <w:pPr>
        <w:ind w:right="460" w:firstLine="1304"/>
        <w:spacing w:after="0" w:line="286" w:lineRule="auto"/>
        <w:tabs>
          <w:tab w:leader="none" w:pos="155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xml:space="preserve">” means a right, granted to an Eligible Person under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to receive Stock, cash or a combination thereof at the end of a specified period (which may or may not be coterminous with the vesting schedule of the Award).</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by the SEC under Section 16 of the Exchange Act.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xml:space="preserve">” means a stock appreciation right granted to an Eligible Person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20" w:hanging="316"/>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right="420" w:firstLine="1304"/>
        <w:spacing w:after="0" w:line="286" w:lineRule="auto"/>
        <w:tabs>
          <w:tab w:leader="none" w:pos="16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from time to time, including the guidance, rules and regulations promulgated thereunder and successor provisions, guidance, rules and regulations thereto.</w:t>
      </w:r>
    </w:p>
    <w:p>
      <w:pPr>
        <w:spacing w:after="0" w:line="154" w:lineRule="exact"/>
        <w:rPr>
          <w:rFonts w:ascii="Times New Roman" w:cs="Times New Roman" w:eastAsia="Times New Roman" w:hAnsi="Times New Roman"/>
          <w:sz w:val="18"/>
          <w:szCs w:val="18"/>
          <w:color w:val="auto"/>
        </w:rPr>
      </w:pPr>
    </w:p>
    <w:p>
      <w:pPr>
        <w:ind w:right="100" w:firstLine="1304"/>
        <w:spacing w:after="0" w:line="286" w:lineRule="auto"/>
        <w:tabs>
          <w:tab w:leader="none" w:pos="16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means the Company’s Class A Common Stock, par value $0.0001 per share, and such other securities as may be substituted (or re-substituted) for Stock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xml:space="preserve">” means unrestricted shares of Stock granted to an Eligible Person under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Award</w:t>
      </w:r>
      <w:r>
        <w:rPr>
          <w:rFonts w:ascii="Times New Roman" w:cs="Times New Roman" w:eastAsia="Times New Roman" w:hAnsi="Times New Roman"/>
          <w:sz w:val="18"/>
          <w:szCs w:val="18"/>
          <w:color w:val="auto"/>
        </w:rPr>
        <w:t xml:space="preserve">” means an Award granted under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840" w:hanging="184"/>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304"/>
        <w:spacing w:after="0" w:line="266"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Committee</w:t>
      </w:r>
      <w:r>
        <w:rPr>
          <w:rFonts w:ascii="Times New Roman" w:cs="Times New Roman" w:eastAsia="Times New Roman" w:hAnsi="Times New Roman"/>
          <w:sz w:val="18"/>
          <w:szCs w:val="18"/>
          <w:color w:val="auto"/>
        </w:rPr>
        <w:t>. The Plan shall be administered by the Committee except to the extent the Board elects to administer the Plan, in which case references herein to the “Committee” shall be deemed to include references to the “Board.” Subject to the express provisions of the Plan, Rule 16b-3 and other applicable laws, the Committee shall have the authority, in its sole and absolute discretion, to:</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Eligible Persons as Participants;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an Eligible Person;</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of Stock or amount of cash to be covered by Awards;</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including whether, to what extent and under what circumstances Awards may be vested, settled, exercised, cancelled or forfeited (including conditions based on continued employment or service requirements or the achievement of one or more performance goals);</w:t>
      </w:r>
    </w:p>
    <w:p>
      <w:pPr>
        <w:spacing w:after="0" w:line="175" w:lineRule="exact"/>
        <w:rPr>
          <w:rFonts w:ascii="Times New Roman" w:cs="Times New Roman" w:eastAsia="Times New Roman" w:hAnsi="Times New Roman"/>
          <w:sz w:val="18"/>
          <w:szCs w:val="18"/>
          <w:color w:val="auto"/>
        </w:rPr>
      </w:pPr>
    </w:p>
    <w:p>
      <w:pPr>
        <w:ind w:right="260" w:firstLine="1952"/>
        <w:spacing w:after="0" w:line="266" w:lineRule="auto"/>
        <w:tabs>
          <w:tab w:leader="none" w:pos="219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waive or adjust any term or condition of an Award that has been granted, which may include the acceleration of vesting, waiver of forfeiture restrictions, modification of the form of settlement of the Award (for example, from cash to Stock or vice versa), early termination of a performance period, or modification of any other condition or limitation regarding an Award;</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treatment of an Award upon a termination of employment or other service relationship;</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holding period with respect to an Award or the shares of Stock received in connection with an Award;</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Award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in any Award, or in any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w:t>
      </w:r>
    </w:p>
    <w:p>
      <w:pPr>
        <w:spacing w:after="0" w:line="206"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Committee deems necessary or desirable for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Plan.</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express grant of any specific power to the Committee, and the taking of any action by the Committee, shall not be construed as limiting any power or authority of the Committee. Any action of the Committee shall be final, conclusive and binding on all persons, including the Company, Affiliates, stockholders, Participants, beneficiaries, and permitted transferees under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other persons claiming rights from or through a Participant.</w:t>
      </w: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58" w:name="page59"/>
    <w:bookmarkEnd w:id="58"/>
    <w:p>
      <w:pPr>
        <w:ind w:left="-20" w:right="140" w:firstLine="1304"/>
        <w:spacing w:after="0" w:line="254" w:lineRule="auto"/>
        <w:tabs>
          <w:tab w:leader="none" w:pos="15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Committee Authority</w:t>
      </w:r>
      <w:r>
        <w:rPr>
          <w:rFonts w:ascii="Times New Roman" w:cs="Times New Roman" w:eastAsia="Times New Roman" w:hAnsi="Times New Roman"/>
          <w:sz w:val="18"/>
          <w:szCs w:val="18"/>
          <w:color w:val="auto"/>
        </w:rPr>
        <w:t xml:space="preserve">. At any time that a member of the Committee is not a Qualified Member, any action of the Committee relating to an Award granted or to be granted to an Eligible Person who is then subject to Section 16 of the Exchange Act in respect of the Company where such action is not taken by the full Board may be taken either (i) by a subcommittee, designated by the Committee, composed solely of two or more Qualified Members, or (ii) by the Committee but with each such member who is not a Qualified Member abstaining or recusing himself or herself from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such abstention or recusal, the Committee remains composed solely of two or more Qualified Members. Such action, authorized by such a subcommittee or by the Committee upon the abstention or recusal of such non-Qualified Member(s), shall be the action of the Committee for purposes of the Plan. For the avoidance of doubt, the full Board may take any action relating to an Award granted or to be granted to an Eligible Person who is then subject to Section 16 of the Exchange Act in respect of the Company.</w:t>
      </w:r>
    </w:p>
    <w:p>
      <w:pPr>
        <w:spacing w:after="0" w:line="191" w:lineRule="exact"/>
        <w:rPr>
          <w:rFonts w:ascii="Times New Roman" w:cs="Times New Roman" w:eastAsia="Times New Roman" w:hAnsi="Times New Roman"/>
          <w:sz w:val="18"/>
          <w:szCs w:val="18"/>
          <w:color w:val="auto"/>
        </w:rPr>
      </w:pPr>
    </w:p>
    <w:p>
      <w:pPr>
        <w:ind w:left="-20" w:firstLine="1304"/>
        <w:spacing w:after="0" w:line="253" w:lineRule="auto"/>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The Committee may delegate any or all of its powers and duties under the Plan to a subcommittee of directors or to any officer of the Company, including the power to perform administrative functions and grant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delegation does not (i) violate state or corporate law, or (ii) result in the loss of an exemption under Rule 16b-3(d)(1) for Awards granted to Participants subject to Section 16 of the Exchange Act in respect of the Company. Upon any such delegation, all references in the Plan to the “Committee,” other than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deemed to include any subcommittee or officer of the Company to whom such powers have been delegated by the Committee. Any such delegation shall not limit the right of such subcommittee members or such an officer to receive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appoint agents who are not executive officers of the Company or members of the Board to assist in administering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individuals may not be delegated the authority to grant or modify any Awards that will, or may, be settled in Stock.</w:t>
      </w:r>
    </w:p>
    <w:p>
      <w:pPr>
        <w:spacing w:after="0" w:line="194" w:lineRule="exact"/>
        <w:rPr>
          <w:rFonts w:ascii="Times New Roman" w:cs="Times New Roman" w:eastAsia="Times New Roman" w:hAnsi="Times New Roman"/>
          <w:sz w:val="18"/>
          <w:szCs w:val="18"/>
          <w:color w:val="auto"/>
        </w:rPr>
      </w:pPr>
    </w:p>
    <w:p>
      <w:pPr>
        <w:ind w:left="-20" w:firstLine="1304"/>
        <w:spacing w:after="0" w:line="256" w:lineRule="auto"/>
        <w:tabs>
          <w:tab w:leader="none" w:pos="15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the Plan. Members of the Committee and any officer or employee of the Company or any Affiliate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87" w:lineRule="exact"/>
        <w:rPr>
          <w:rFonts w:ascii="Times New Roman" w:cs="Times New Roman" w:eastAsia="Times New Roman" w:hAnsi="Times New Roman"/>
          <w:sz w:val="18"/>
          <w:szCs w:val="18"/>
          <w:color w:val="auto"/>
        </w:rPr>
      </w:pPr>
    </w:p>
    <w:p>
      <w:pPr>
        <w:ind w:left="-20" w:right="40" w:firstLine="1304"/>
        <w:spacing w:after="0" w:line="253" w:lineRule="auto"/>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in Non-U.S. Jurisdictions</w:t>
      </w:r>
      <w:r>
        <w:rPr>
          <w:rFonts w:ascii="Times New Roman" w:cs="Times New Roman" w:eastAsia="Times New Roman" w:hAnsi="Times New Roman"/>
          <w:sz w:val="18"/>
          <w:szCs w:val="18"/>
          <w:color w:val="auto"/>
        </w:rPr>
        <w:t xml:space="preserve">. Notwithstanding any provision of the Plan to the contrary, to comply with applicable laws in countries other than the United States in which the Company or any Affiliate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sub-plans and/or modifications shall increase the share limitations contained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9" w:name="page60"/>
    <w:bookmarkEnd w:id="59"/>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00" w:firstLine="1304"/>
        <w:spacing w:after="0" w:line="255"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Available for Delivery</w:t>
      </w:r>
      <w:r>
        <w:rPr>
          <w:rFonts w:ascii="Times New Roman" w:cs="Times New Roman" w:eastAsia="Times New Roman" w:hAnsi="Times New Roman"/>
          <w:sz w:val="18"/>
          <w:szCs w:val="18"/>
          <w:color w:val="auto"/>
        </w:rPr>
        <w:t xml:space="preserve">. Subject to adjustment in a manner consistent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 4,752,000 shares of Stock plus (ii) any shares of Stock that are available for issuance under the Stronghold Digital Mining, Inc. 2021 Long Term Incentive Plan as of the Effective Date are reserved and available for delivery with respect to Awards, and such total shall be available for the issuance of shares upon the exercise of ISOs;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 January 1 of each calendar year occurring after the Effective Date and prior to the tenth anniversary of the Effective Date, the total number of shares of Stock reserved and available for delivery with respect to Awards under the Plan shall increase by a number of shares of Stock equal to the lesser of (x) 3% of the total number of shares of Stock outstanding as of December 31 of the immediately preceding calendar year and (y) such smaller number of shares of Stock as is determined by the Board.</w:t>
      </w:r>
    </w:p>
    <w:p>
      <w:pPr>
        <w:spacing w:after="0" w:line="188"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Limitation to Grants of Awards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no Award may be granted if the number of shares of Stock that may be delivered in connection with such Award exceeds the number of shares of Stock remaining available under the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83" w:lineRule="exact"/>
        <w:rPr>
          <w:rFonts w:ascii="Times New Roman" w:cs="Times New Roman" w:eastAsia="Times New Roman" w:hAnsi="Times New Roman"/>
          <w:sz w:val="18"/>
          <w:szCs w:val="18"/>
          <w:color w:val="auto"/>
        </w:rPr>
      </w:pPr>
    </w:p>
    <w:p>
      <w:pPr>
        <w:ind w:firstLine="1304"/>
        <w:spacing w:after="0" w:line="25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Shares Not Delivered under Awards</w:t>
      </w:r>
      <w:r>
        <w:rPr>
          <w:rFonts w:ascii="Times New Roman" w:cs="Times New Roman" w:eastAsia="Times New Roman" w:hAnsi="Times New Roman"/>
          <w:sz w:val="18"/>
          <w:szCs w:val="18"/>
          <w:color w:val="auto"/>
        </w:rPr>
        <w:t xml:space="preserve">. If all or any portion of an Award expires or is cancelled, forfeited, exchanged, settled in cash or otherwise terminated, the shares of Stock subject to such Award (including (i) shares forfeited with respect to Restricted Stock, and (ii) the number of shares withheld or surrendered to the Company in payment of any exercise or purchase price of an Award or taxes relating to Awards) shall not be considered “delivered shares” under the Plan, shall be available for delivery with respect to Awards, and shall no longer be considered issuable or related to outstanding Awards for purposes of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If an Award may be settled only in cash, such Award need not be counted against any share limit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1304"/>
        <w:spacing w:after="0" w:line="258" w:lineRule="auto"/>
        <w:tabs>
          <w:tab w:leader="none" w:pos="15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Following Certain Transactions</w:t>
      </w:r>
      <w:r>
        <w:rPr>
          <w:rFonts w:ascii="Times New Roman" w:cs="Times New Roman" w:eastAsia="Times New Roman" w:hAnsi="Times New Roman"/>
          <w:sz w:val="18"/>
          <w:szCs w:val="18"/>
          <w:color w:val="auto"/>
        </w:rPr>
        <w:t xml:space="preserve">. Substitute Awards granted in accordance with applicable stock exchange requirements and in substitution or exchange for awards previously granted by a company acquired by the Company or any subsidiary or with which the Company or any subsidiary combines shall not reduce the shares authorized for issuance under the Plan or the limitations on grants to non-employee members of the Board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nor shall shares subject to such Substitute Awards be added to the shares available for issuance under the Plan as provided above (whether or not such Substitute Awards are later cancelled, forfeited or otherwise terminated).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right="140" w:firstLine="1304"/>
        <w:spacing w:after="0" w:line="26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Offered</w:t>
      </w:r>
      <w:r>
        <w:rPr>
          <w:rFonts w:ascii="Times New Roman" w:cs="Times New Roman" w:eastAsia="Times New Roman" w:hAnsi="Times New Roman"/>
          <w:sz w:val="18"/>
          <w:szCs w:val="18"/>
          <w:color w:val="auto"/>
        </w:rPr>
        <w:t>. The shares of Stock to be delivered under the Plan shall be made available from (i) authorized but unissued shares of Stock, (ii) Stock held in the treasury of the Company, or (iii) previously issued shares of Stock reacquired by the Company, including shares purchased on the open market.</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 Award Limitations for Non-Employee Members of the Board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under the Plan only to Eligible Persons.</w:t>
      </w:r>
    </w:p>
    <w:p>
      <w:pPr>
        <w:spacing w:after="0" w:line="225" w:lineRule="exact"/>
        <w:rPr>
          <w:rFonts w:ascii="Times New Roman" w:cs="Times New Roman" w:eastAsia="Times New Roman" w:hAnsi="Times New Roman"/>
          <w:sz w:val="18"/>
          <w:szCs w:val="18"/>
          <w:color w:val="auto"/>
        </w:rPr>
      </w:pPr>
    </w:p>
    <w:p>
      <w:pPr>
        <w:ind w:firstLine="1304"/>
        <w:spacing w:after="0" w:line="254" w:lineRule="auto"/>
        <w:tabs>
          <w:tab w:leader="none" w:pos="15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calendar year during any part of which the Plan is in effect, a non-employee member of the Board may not be paid compensation, whether denominated in cash or Awards, for such individual’s service on the Board in excess of $750,000; provided, however, that for any calendar year in which a member of the Board (i) first commences service on the Board, (ii) serves on a special committee of the Board or (iii) serves as lead director, additional compensation, whether denominated in cash or Awards may be paid. For purposes of this Section 5(b), the value of Awards shall be determined, if applicable, pursuant to ASC Topic 718 on the date of grant and attributed to the compensation limit for the year in which the Award is granted. For the avoidance of doubt, the limits set forth in this Section 5(b) shall be without regard to grants of Awards or other payments, if any, made to a non-employee member of the Board during any period in which such individual was an employee of the Company or any of its Affiliates or was otherwise providing services to the Company or to any of its Affiliates other than in the capacity as a director of the Company. For the avoidance of doubt, any cash compensation that is deferred shall be counted toward this limit for the year in which it was first earned, and not when paid or settled, if later.</w:t>
      </w:r>
    </w:p>
    <w:p>
      <w:pPr>
        <w:spacing w:after="0" w:line="18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Terms of Awards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60" w:firstLine="1304"/>
        <w:spacing w:after="0" w:line="253"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Awards may be granted on the terms and conditions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Awards granted under the Plan may, in the discretion of the Committee, be granted either alone, in addition to, or in tandem with any other Award. In addition, the Committee may impose on any Award or the exercise thereof, at the date of grant or thereafter (subject to </w:t>
      </w:r>
      <w:r>
        <w:rPr>
          <w:rFonts w:ascii="Times New Roman" w:cs="Times New Roman" w:eastAsia="Times New Roman" w:hAnsi="Times New Roman"/>
          <w:sz w:val="18"/>
          <w:szCs w:val="18"/>
          <w:u w:val="single" w:color="auto"/>
          <w:color w:val="auto"/>
        </w:rPr>
        <w:t>Section 9(o)</w:t>
      </w:r>
      <w:r>
        <w:rPr>
          <w:rFonts w:ascii="Times New Roman" w:cs="Times New Roman" w:eastAsia="Times New Roman" w:hAnsi="Times New Roman"/>
          <w:sz w:val="18"/>
          <w:szCs w:val="18"/>
          <w:color w:val="auto"/>
        </w:rPr>
        <w:t>), such additional terms and conditions, not inconsistent with the provisions of the Plan, as the Committee shall determine, including subjecting such awards to service- or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an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 Except as otherwise provided in an Award Agreement, the Committee may exercise its discretion to reduce or increase the amounts payable under any Award.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80" w:right="40" w:firstLine="1304"/>
        <w:spacing w:after="0" w:line="282" w:lineRule="auto"/>
        <w:tabs>
          <w:tab w:leader="none" w:pos="14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The Committee is authorized to grant Options, which may be designated as either ISOs or Nonstatutory Options, to Eligible Persons on the following terms and conditions:</w:t>
      </w:r>
    </w:p>
    <w:p>
      <w:pPr>
        <w:spacing w:after="0" w:line="157" w:lineRule="exact"/>
        <w:rPr>
          <w:rFonts w:ascii="Times New Roman" w:cs="Times New Roman" w:eastAsia="Times New Roman" w:hAnsi="Times New Roman"/>
          <w:sz w:val="18"/>
          <w:szCs w:val="18"/>
          <w:color w:val="auto"/>
        </w:rPr>
      </w:pPr>
    </w:p>
    <w:p>
      <w:pPr>
        <w:ind w:left="-80" w:firstLine="1952"/>
        <w:spacing w:after="0" w:line="254" w:lineRule="auto"/>
        <w:tabs>
          <w:tab w:leader="none" w:pos="207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Award Agreement evidencing an Option shall state the exercise price per share of Stock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established by the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Exercise Price of an Option shall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less than the greater of (A) the par value per share of the Stock or (B) 100% of the Fair Market Value per share of the Stock as of the date of grant of the Option (or in the case of an ISO granted to an individual who owns stock possessing more than 10% of the total combined voting power of all classes of stock of the Company or its parent or any of its subsidiaries, 110% of the Fair Market Value per share of the Stock on the date of grant). Notwithstanding the foregoing, the Exercise Price of a Nonstatutory Option may be less than 100% of the Fair Market Value per share of Stock as of the date of grant of the Option if the Option (1) does not provide for a deferral of compensation by reason of satisfying the short-term deferral exception set forth in the Nonqualified Deferred Compensation Rules or (2) provides for a deferral of compensation and is compliant with the Nonqualified Deferred Compensation Rules.</w:t>
      </w:r>
    </w:p>
    <w:p>
      <w:pPr>
        <w:spacing w:after="0" w:line="192" w:lineRule="exact"/>
        <w:rPr>
          <w:rFonts w:ascii="Times New Roman" w:cs="Times New Roman" w:eastAsia="Times New Roman" w:hAnsi="Times New Roman"/>
          <w:sz w:val="18"/>
          <w:szCs w:val="18"/>
          <w:color w:val="auto"/>
        </w:rPr>
      </w:pPr>
    </w:p>
    <w:p>
      <w:pPr>
        <w:ind w:left="-80" w:right="40" w:firstLine="1952"/>
        <w:spacing w:after="0" w:line="253" w:lineRule="auto"/>
        <w:tabs>
          <w:tab w:leader="none" w:pos="212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Method of Exercise; Other Terms</w:t>
      </w:r>
      <w:r>
        <w:rPr>
          <w:rFonts w:ascii="Times New Roman" w:cs="Times New Roman" w:eastAsia="Times New Roman" w:hAnsi="Times New Roman"/>
          <w:sz w:val="18"/>
          <w:szCs w:val="18"/>
          <w:color w:val="auto"/>
        </w:rPr>
        <w:t xml:space="preserve">. The Committee shall determine the methods by which the Exercise Price may be paid or deemed to be paid, the form of such payment, including cash or cash equivalents, Stock (including previously owned shares or through a cashless exercise, i.e., “net settlement”, a broker-assisted exercise, or other reduction of the amount of shares otherwise issuable pursuant to the Option), other Awards or awards granted under other plans of the Company or any Affiliate, other property, or any other legal consideration the Committee deems appropriate (including notes or other contractual obligations of Participants to make payment on a deferred basis), the methods by or forms in which Stock will be delivered or deemed to be delivered to Participants, including the delivery of Restricted Stock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and any other terms and conditions of any Option. In the case of an exercise whereby the Exercise Price is paid with Stock, such Stock shall be valued based on the Stock’s Fair Market Value as of the date of exercise. No Option may be exercisable for a period of more than ten years following the date of grant of the Option (or in the case of an ISO granted to an individual who owns stock possessing more than 10% of the total combined voting power of all classes of stock of the Company or its parent or any of its subsidiaries, for a period of more than five years following the date of grant of the ISO).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62" w:name="page63"/>
    <w:bookmarkEnd w:id="62"/>
    <w:p>
      <w:pPr>
        <w:ind w:left="-20" w:firstLine="1952"/>
        <w:spacing w:after="0" w:line="252" w:lineRule="auto"/>
        <w:tabs>
          <w:tab w:leader="none" w:pos="223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xml:space="preserve">. The terms of any ISO granted under the Plan shall comply in all respects with the provisions of Section 422 of the Code. ISOs may only be granted to Eligible Persons who are employees of the Company or employees of a parent or any subsidiary corporation of the Company. Except as otherwise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no term of the Plan relating to ISOs (including any SAR in tandem therewith) shall be interpreted, amended or altered, nor shall any discretion or authority granted under the Plan be exercised, so as to disqualify either the Plan or any ISO under Section 422 of the Code, unless notice has been provided to the Participant that such change will result in such disqualification. ISOs shall not be granted more than ten years after the earlier of the adoption of the Plan or the approval of the Plan by the Company’s stockholders. Notwithstanding the foregoing, to the extent that the aggregate Fair Market Value of shares of Stock subject to an ISO and the aggregate Fair Market Value of shares of stock of any parent or subsidiary corporation (within the meaning of Sections 424(e) and (f) of the Code) subject to any other incentive stock options of the Company or a parent or subsidiary corporation (within the meaning of Sections 424(e) and (f) of the Code) that are exercisable for the first time by a Participant during any calendar year exceeds $100,000, or such other amount as may be prescribed under Section 422 of the Code, such excess shall be treated as Nonstatutory Options in accordance with the Code. As used in the previous sentence, Fair Market Value shall be determined as of the date the ISO is granted. If a Participant shall make any disposition of shares of Stock issued pursuant to an ISO under the circumstances described in Section 421(b) of the Code (relating to disqualifying dispositions), the Participant shall notify the Company of such disposition within the time provided to do so in the applicable award agreement.</w:t>
      </w:r>
    </w:p>
    <w:p>
      <w:pPr>
        <w:spacing w:after="0" w:line="197"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The Committee is authorized to grant SARs to Eligible Persons on the following terms and conditions:</w:t>
      </w:r>
    </w:p>
    <w:p>
      <w:pPr>
        <w:spacing w:after="0" w:line="225" w:lineRule="exact"/>
        <w:rPr>
          <w:rFonts w:ascii="Times New Roman" w:cs="Times New Roman" w:eastAsia="Times New Roman" w:hAnsi="Times New Roman"/>
          <w:sz w:val="18"/>
          <w:szCs w:val="18"/>
          <w:color w:val="auto"/>
        </w:rPr>
      </w:pPr>
    </w:p>
    <w:p>
      <w:pPr>
        <w:ind w:left="-20" w:right="180" w:firstLine="1952"/>
        <w:spacing w:after="0" w:line="282" w:lineRule="auto"/>
        <w:tabs>
          <w:tab w:leader="none" w:pos="21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Payment</w:t>
      </w:r>
      <w:r>
        <w:rPr>
          <w:rFonts w:ascii="Times New Roman" w:cs="Times New Roman" w:eastAsia="Times New Roman" w:hAnsi="Times New Roman"/>
          <w:sz w:val="18"/>
          <w:szCs w:val="18"/>
          <w:color w:val="auto"/>
        </w:rPr>
        <w:t>. An SAR is a right to receive, upon exercise thereof, the excess of (A) the Fair Market Value of one share of Stock on the date of exercise over (B) the grant price of the SAR as determined by the Committee.</w:t>
      </w:r>
    </w:p>
    <w:p>
      <w:pPr>
        <w:spacing w:after="0" w:line="162" w:lineRule="exact"/>
        <w:rPr>
          <w:sz w:val="20"/>
          <w:szCs w:val="20"/>
          <w:color w:val="auto"/>
        </w:rPr>
      </w:pPr>
    </w:p>
    <w:p>
      <w:pPr>
        <w:ind w:left="-20" w:right="20" w:firstLine="1952"/>
        <w:spacing w:after="0" w:line="255" w:lineRule="auto"/>
        <w:tabs>
          <w:tab w:leader="none" w:pos="21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Price</w:t>
      </w:r>
      <w:r>
        <w:rPr>
          <w:rFonts w:ascii="Times New Roman" w:cs="Times New Roman" w:eastAsia="Times New Roman" w:hAnsi="Times New Roman"/>
          <w:sz w:val="18"/>
          <w:szCs w:val="18"/>
          <w:color w:val="auto"/>
        </w:rPr>
        <w:t xml:space="preserve">. Each Award Agreement evidencing an SAR shall state the grant price per share of Stock established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grant price per share of Stock subject to an SAR shall not be less than the greater of (A) the par value per share of the Stock or (B) 100% of the Fair Market Value per share of the Stock as of the date of grant of the SAR. Notwithstanding the foregoing, the grant price of an SAR may be less than 100% of the Fair Market Value per share of Stock subject to an SAR as of the date of grant of the SAR if the SAR (1) does not provide for a deferral of compensation by reason of satisfying the short-term deferral exception set forth in the Nonqualified Deferred Compensation Rules or (2) provides for a deferral of compensation and is compliant with the Nonqualified Deferred Compensation Rules.</w:t>
      </w:r>
    </w:p>
    <w:p>
      <w:pPr>
        <w:spacing w:after="0" w:line="188" w:lineRule="exact"/>
        <w:rPr>
          <w:rFonts w:ascii="Times New Roman" w:cs="Times New Roman" w:eastAsia="Times New Roman" w:hAnsi="Times New Roman"/>
          <w:sz w:val="18"/>
          <w:szCs w:val="18"/>
          <w:color w:val="auto"/>
        </w:rPr>
      </w:pPr>
    </w:p>
    <w:p>
      <w:pPr>
        <w:jc w:val="both"/>
        <w:ind w:left="-20" w:right="140" w:firstLine="1952"/>
        <w:spacing w:after="0" w:line="261" w:lineRule="auto"/>
        <w:tabs>
          <w:tab w:leader="none" w:pos="22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and Settlement; Other Terms</w:t>
      </w:r>
      <w:r>
        <w:rPr>
          <w:rFonts w:ascii="Times New Roman" w:cs="Times New Roman" w:eastAsia="Times New Roman" w:hAnsi="Times New Roman"/>
          <w:sz w:val="18"/>
          <w:szCs w:val="18"/>
          <w:color w:val="auto"/>
        </w:rPr>
        <w:t>. The Committee shall determine the form of consideration payable upon settlement, the method by or forms in which Stock (if any) will be delivered or deemed to be delivered to Participants, and any other terms and conditions of any SAR. SARs may be either free-standing or granted in tandem with other Awards. No SAR may be exercisable for a period of more than ten years following the date of grant of the SAR.</w:t>
      </w:r>
    </w:p>
    <w:p>
      <w:pPr>
        <w:spacing w:after="0" w:line="179" w:lineRule="exact"/>
        <w:rPr>
          <w:rFonts w:ascii="Times New Roman" w:cs="Times New Roman" w:eastAsia="Times New Roman" w:hAnsi="Times New Roman"/>
          <w:sz w:val="18"/>
          <w:szCs w:val="18"/>
          <w:color w:val="auto"/>
        </w:rPr>
      </w:pPr>
    </w:p>
    <w:p>
      <w:pPr>
        <w:ind w:left="-20" w:right="40" w:firstLine="1952"/>
        <w:spacing w:after="0" w:line="255" w:lineRule="auto"/>
        <w:tabs>
          <w:tab w:leader="none" w:pos="22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Related to Options</w:t>
      </w:r>
      <w:r>
        <w:rPr>
          <w:rFonts w:ascii="Times New Roman" w:cs="Times New Roman" w:eastAsia="Times New Roman" w:hAnsi="Times New Roman"/>
          <w:sz w:val="18"/>
          <w:szCs w:val="18"/>
          <w:color w:val="auto"/>
        </w:rPr>
        <w:t>. An SAR granted in connection with an Option shall entitle a Participant, upon exercise, to surrender that Option or any portion thereof, to the extent unexercised, and to receive payment of an amount determined by multiplying (A) the difference obtained by subtracting the Exercise Price with respect to a share of Stock specified in the related Option from the Fair Market Value of a share of Stock on the date of exercise of the SAR, by (B) the number of shares as to which that SAR has been exercised. The Option shall then cease to be exercisable to the extent surrendered. SARs granted in connection with an Option shall be subject to the terms and conditions of the Award Agreement governing the Option, which shall provide that the SAR is exercisable only at such time or times and only to the extent that the related Option is exercisable and shall not be transferable except to the extent that the related Option is transferrable.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63" w:name="page64"/>
    <w:bookmarkEnd w:id="63"/>
    <w:p>
      <w:pPr>
        <w:ind w:left="1560" w:hanging="256"/>
        <w:spacing w:after="0"/>
        <w:tabs>
          <w:tab w:leader="none" w:pos="1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The Committee is authorized to grant Restricted Stock to Eligible Persons on the following terms and conditions:</w:t>
      </w:r>
    </w:p>
    <w:p>
      <w:pPr>
        <w:spacing w:after="0" w:line="225" w:lineRule="exact"/>
        <w:rPr>
          <w:rFonts w:ascii="Times New Roman" w:cs="Times New Roman" w:eastAsia="Times New Roman" w:hAnsi="Times New Roman"/>
          <w:sz w:val="18"/>
          <w:szCs w:val="18"/>
          <w:color w:val="auto"/>
        </w:rPr>
      </w:pPr>
    </w:p>
    <w:p>
      <w:pPr>
        <w:ind w:right="40" w:firstLine="1952"/>
        <w:spacing w:after="0" w:line="266" w:lineRule="auto"/>
        <w:tabs>
          <w:tab w:leader="none" w:pos="21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Restricted Stock shall be subject to such restrictions on transferability, risk of forfeiture and other restrictions, if any, as the Committee may impose. Except as provided in </w:t>
      </w:r>
      <w:r>
        <w:rPr>
          <w:rFonts w:ascii="Times New Roman" w:cs="Times New Roman" w:eastAsia="Times New Roman" w:hAnsi="Times New Roman"/>
          <w:sz w:val="18"/>
          <w:szCs w:val="18"/>
          <w:u w:val="single" w:color="auto"/>
          <w:color w:val="auto"/>
        </w:rPr>
        <w:t>Section 7(a)(iii)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7(a)(iv)</w:t>
      </w:r>
      <w:r>
        <w:rPr>
          <w:rFonts w:ascii="Times New Roman" w:cs="Times New Roman" w:eastAsia="Times New Roman" w:hAnsi="Times New Roman"/>
          <w:sz w:val="18"/>
          <w:szCs w:val="18"/>
          <w:color w:val="auto"/>
        </w:rPr>
        <w:t>, during the restricted period applicable to the Restricted Stock, the Restricted Stock may not be sold, transferred, pledged, hedged, hypothecated, margined or otherwise encumbered by the Participant.</w:t>
      </w:r>
    </w:p>
    <w:p>
      <w:pPr>
        <w:spacing w:after="0" w:line="175" w:lineRule="exact"/>
        <w:rPr>
          <w:rFonts w:ascii="Times New Roman" w:cs="Times New Roman" w:eastAsia="Times New Roman" w:hAnsi="Times New Roman"/>
          <w:sz w:val="18"/>
          <w:szCs w:val="18"/>
          <w:color w:val="auto"/>
        </w:rPr>
      </w:pPr>
    </w:p>
    <w:p>
      <w:pPr>
        <w:ind w:right="40" w:firstLine="1952"/>
        <w:spacing w:after="0" w:line="256" w:lineRule="auto"/>
        <w:tabs>
          <w:tab w:leader="none" w:pos="220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Splits</w:t>
      </w:r>
      <w:r>
        <w:rPr>
          <w:rFonts w:ascii="Times New Roman" w:cs="Times New Roman" w:eastAsia="Times New Roman" w:hAnsi="Times New Roman"/>
          <w:sz w:val="18"/>
          <w:szCs w:val="18"/>
          <w:color w:val="auto"/>
        </w:rPr>
        <w:t>. As a condition to the grant of an Award of Restricted Stock, the Committee may allow a Participant to elect, or may require, that any cash dividends paid on a share of Restricted Stock be automatically reinvested in additional shares of Restricted Stock, applied to the purchase of additional Awards or deferred without interest to the date of vesting of the associated Award of Restricted Stock.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The Committee is authorized to grant Restricted Stock Units to Eligible Persons on the following terms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206"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and Restrictions</w:t>
      </w:r>
      <w:r>
        <w:rPr>
          <w:rFonts w:ascii="Times New Roman" w:cs="Times New Roman" w:eastAsia="Times New Roman" w:hAnsi="Times New Roman"/>
          <w:sz w:val="17"/>
          <w:szCs w:val="17"/>
          <w:color w:val="auto"/>
        </w:rPr>
        <w:t>. Restricted Stock Units shall be subject to such restrictions (which may include a risk of forfeiture) as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Committee may impose.</w:t>
      </w:r>
    </w:p>
    <w:p>
      <w:pPr>
        <w:spacing w:after="0" w:line="206" w:lineRule="exact"/>
        <w:rPr>
          <w:rFonts w:ascii="Times New Roman" w:cs="Times New Roman" w:eastAsia="Times New Roman" w:hAnsi="Times New Roman"/>
          <w:sz w:val="17"/>
          <w:szCs w:val="17"/>
          <w:color w:val="auto"/>
        </w:rPr>
      </w:pPr>
    </w:p>
    <w:p>
      <w:pPr>
        <w:ind w:right="140" w:firstLine="1952"/>
        <w:spacing w:after="0" w:line="258" w:lineRule="auto"/>
        <w:tabs>
          <w:tab w:leader="none" w:pos="220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Settlement of vested Restricted Stock Units shall occur upon vesting or upon expiration of the deferral period specified for such Restricted Stock Units by the Committee (or, if permitted by the Committee, as elected by the Participant). Restricted Stock Units shall be settled by delivery of (A) a number of shares of Stock equal to the number of Restricted Stock Units for which settlement is due, or (B) cash in an amount equal to the Fair Market Value of the specified number of shares of Stock equal to the number of Restricted Stock Units for which settlement is due, or a combination thereof, as determined by the Committee at the date of grant or thereafter.</w:t>
      </w:r>
    </w:p>
    <w:p>
      <w:pPr>
        <w:spacing w:after="0" w:line="183" w:lineRule="exact"/>
        <w:rPr>
          <w:rFonts w:ascii="Times New Roman" w:cs="Times New Roman" w:eastAsia="Times New Roman" w:hAnsi="Times New Roman"/>
          <w:sz w:val="18"/>
          <w:szCs w:val="18"/>
          <w:color w:val="auto"/>
        </w:rPr>
      </w:pPr>
    </w:p>
    <w:p>
      <w:pPr>
        <w:ind w:firstLine="1304"/>
        <w:spacing w:after="0" w:line="266" w:lineRule="auto"/>
        <w:tabs>
          <w:tab w:leader="none" w:pos="15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The Committee is authorized to grant Stock Awards to Eligible Persons as a bonus, as additional compensation, or in lieu of cash compensation any such Eligible Person is otherwise entitled to receive, in such amounts and subject to such other terms as the Committee in its discretion determines to be appropriate.</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4" w:name="page65"/>
    <w:bookmarkEnd w:id="64"/>
    <w:p>
      <w:pPr>
        <w:ind w:left="-8" w:right="80" w:firstLine="1304"/>
        <w:spacing w:after="0" w:line="254" w:lineRule="auto"/>
        <w:tabs>
          <w:tab w:leader="none" w:pos="154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Committee is authorized to grant Dividend Equivalents to Eligible Persons, entitling any such Eligible Person to receive cash, Stock, other Awards, or other property equal in value to dividends or other distributions paid with respect to a specified number of shares of Stock. Dividend Equivalents may be awarded on a free-standing basis or in connection with another Award (other than an Award of Restricted Stock or a Stock Award). The Committee may provide that Dividend Equivalents that are granted as free-standing awards shall be paid or distributed when accrued or at a later specified date and, if distributed at a later date, may be deemed to have been reinvested in additional Stock, Awards, or other investment vehicles or accrued in a bookkeeping account without interest, and subject to such restrictions on transferability and risks of forfeiture, as the Committee may specify. With respect to Dividend Equivalents granted in connection with another Award, absent a contrary provision in the Award Agreement, such Dividend Equivalents shall be subject to the same restrictions and risk of forfeiture as the Award with respect to which the dividends accrue and shall not be paid unless and until such Award has vested and been earned.</w:t>
      </w:r>
    </w:p>
    <w:p>
      <w:pPr>
        <w:spacing w:after="0" w:line="188" w:lineRule="exact"/>
        <w:rPr>
          <w:rFonts w:ascii="Times New Roman" w:cs="Times New Roman" w:eastAsia="Times New Roman" w:hAnsi="Times New Roman"/>
          <w:sz w:val="18"/>
          <w:szCs w:val="18"/>
          <w:color w:val="auto"/>
        </w:rPr>
      </w:pPr>
    </w:p>
    <w:p>
      <w:pPr>
        <w:ind w:left="-8" w:right="40" w:firstLine="1304"/>
        <w:spacing w:after="0" w:line="254" w:lineRule="auto"/>
        <w:tabs>
          <w:tab w:leader="none" w:pos="154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xml:space="preserve">. The Committee is authorized, subject to limitations under applicable law, to grant to Eligible Persons such other Awards that may be denominated or payable in, valued in whole or in part by reference to, or otherwise based on, or related to, Stock, as deemed by the Committee to be consistent with the purposes of the Plan, including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Affiliates. The Committee shall determine the terms and conditions of such Other Stock-Based Awards. Stock delivered pursuant to an Other-Stock Based Award in the nature of a purchase right granted under this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xml:space="preserve"> shall be purchased for such consideration, paid for at such times, by such methods, and in such forms, including cash, Stock, other Awards, or other property, as the Committee shall determine.</w:t>
      </w:r>
    </w:p>
    <w:p>
      <w:pPr>
        <w:spacing w:after="0" w:line="191" w:lineRule="exact"/>
        <w:rPr>
          <w:rFonts w:ascii="Times New Roman" w:cs="Times New Roman" w:eastAsia="Times New Roman" w:hAnsi="Times New Roman"/>
          <w:sz w:val="18"/>
          <w:szCs w:val="18"/>
          <w:color w:val="auto"/>
        </w:rPr>
      </w:pPr>
    </w:p>
    <w:p>
      <w:pPr>
        <w:ind w:left="-8" w:right="80" w:firstLine="1304"/>
        <w:spacing w:after="0" w:line="266" w:lineRule="auto"/>
        <w:tabs>
          <w:tab w:leader="none" w:pos="15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Awards</w:t>
      </w:r>
      <w:r>
        <w:rPr>
          <w:rFonts w:ascii="Times New Roman" w:cs="Times New Roman" w:eastAsia="Times New Roman" w:hAnsi="Times New Roman"/>
          <w:sz w:val="18"/>
          <w:szCs w:val="18"/>
          <w:color w:val="auto"/>
        </w:rPr>
        <w:t>. The Committee is authorized to grant Cash Awards, on a free-standing basis or as an element of, a supplement to, or in lieu of any other Award under the Plan to Eligible Persons in such amounts and subject to such other terms as the Committee in its discretion determines to be appropriate, including for purposes of any annual or short-term incentive or other bonus program.</w:t>
      </w:r>
    </w:p>
    <w:p>
      <w:pPr>
        <w:spacing w:after="0" w:line="175" w:lineRule="exact"/>
        <w:rPr>
          <w:rFonts w:ascii="Times New Roman" w:cs="Times New Roman" w:eastAsia="Times New Roman" w:hAnsi="Times New Roman"/>
          <w:sz w:val="18"/>
          <w:szCs w:val="18"/>
          <w:color w:val="auto"/>
        </w:rPr>
      </w:pPr>
    </w:p>
    <w:p>
      <w:pPr>
        <w:ind w:left="-8" w:right="20" w:firstLine="1304"/>
        <w:spacing w:after="0" w:line="252" w:lineRule="auto"/>
        <w:tabs>
          <w:tab w:leader="none" w:pos="15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 No Repricing</w:t>
      </w:r>
      <w:r>
        <w:rPr>
          <w:rFonts w:ascii="Times New Roman" w:cs="Times New Roman" w:eastAsia="Times New Roman" w:hAnsi="Times New Roman"/>
          <w:sz w:val="18"/>
          <w:szCs w:val="18"/>
          <w:color w:val="auto"/>
        </w:rPr>
        <w:t>. Awards may be granted in substitution or exchange for any other Award granted under the Plan or under another plan of the Company or an Affiliate or any other right of an Eligible Person to receive payment from the Company or an Affiliate. Awards may also be granted under the Plan in substitution for awards held by individuals who become Eligible Persons as a result of a merger, consolidation or acquisition of another entity or the assets of another entity by or with the Company or an Affiliate. Such Substitute Awards referred to in the immediately preceding sentence that are Options or SARs may have an exercise price that is less than the Fair Market Value of a share of Stock on the date of the substitution if such substitution complies with the Nonqualified Deferred Compensation Rules and other applicable laws and exchange rules. The Company expressly reserves the right to, without the approval of the stockholders of the Company, amend the terms of outstanding Awards at any time determined in the Committee’s discretion to (i) reduce the Exercise Price or grant price of an outstanding Option or SAR, (ii) grant a new Option, SAR or other Award in substitution for, or upon the cancellation of, any previously granted Option or SAR that has the effect of reducing the Exercise Price or grant price thereof,</w:t>
      </w:r>
    </w:p>
    <w:p>
      <w:pPr>
        <w:spacing w:after="0" w:line="6" w:lineRule="exact"/>
        <w:rPr>
          <w:rFonts w:ascii="Times New Roman" w:cs="Times New Roman" w:eastAsia="Times New Roman" w:hAnsi="Times New Roman"/>
          <w:sz w:val="18"/>
          <w:szCs w:val="18"/>
          <w:color w:val="auto"/>
        </w:rPr>
      </w:pPr>
    </w:p>
    <w:p>
      <w:pPr>
        <w:ind w:left="-8" w:firstLine="8"/>
        <w:spacing w:after="0" w:line="255" w:lineRule="auto"/>
        <w:tabs>
          <w:tab w:leader="none" w:pos="3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any Option or SAR for Stock, cash or other consideration when the Exercise Price or grant price per share of Stock under such Option or SAR exceeds the Fair Market Value of a share of Stock and (iv) take any other action that would be considered a “repricing” of an Option or SAR under the applicable listing standards of the national securities exchange on which the Stock is listed (if any).</w:t>
      </w:r>
    </w:p>
    <w:p>
      <w:pPr>
        <w:spacing w:after="0" w:line="3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5" w:name="page66"/>
    <w:bookmarkEnd w:id="65"/>
    <w:p>
      <w:pPr>
        <w:ind w:left="840" w:hanging="184"/>
        <w:spacing w:after="0"/>
        <w:tabs>
          <w:tab w:leader="none" w:pos="8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Provisions Applicable to Awards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Transfer of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60" w:firstLine="1952"/>
        <w:spacing w:after="0" w:line="266" w:lineRule="auto"/>
        <w:tabs>
          <w:tab w:leader="none" w:pos="215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Sections 7(a)(iii)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each Option and SAR shall be exercisable only by the Participant during the Participant’s lifetime, or by the person to whom the Participant’s rights shall pass by will or the laws of descent and distribution. Notwithstanding anything to the contrary in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an ISO shall not be transferable other than by will or the laws of descent and distribution.</w:t>
      </w:r>
    </w:p>
    <w:p>
      <w:pPr>
        <w:spacing w:after="0" w:line="175" w:lineRule="exact"/>
        <w:rPr>
          <w:rFonts w:ascii="Times New Roman" w:cs="Times New Roman" w:eastAsia="Times New Roman" w:hAnsi="Times New Roman"/>
          <w:sz w:val="18"/>
          <w:szCs w:val="18"/>
          <w:color w:val="auto"/>
        </w:rPr>
      </w:pPr>
    </w:p>
    <w:p>
      <w:pPr>
        <w:ind w:right="320" w:firstLine="1952"/>
        <w:spacing w:after="0" w:line="266" w:lineRule="auto"/>
        <w:tabs>
          <w:tab w:leader="none" w:pos="220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Sections 7(a)(i)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no Award, other than a Stock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Affiliate.</w:t>
      </w:r>
    </w:p>
    <w:p>
      <w:pPr>
        <w:spacing w:after="0" w:line="175" w:lineRule="exact"/>
        <w:rPr>
          <w:rFonts w:ascii="Times New Roman" w:cs="Times New Roman" w:eastAsia="Times New Roman" w:hAnsi="Times New Roman"/>
          <w:sz w:val="18"/>
          <w:szCs w:val="18"/>
          <w:color w:val="auto"/>
        </w:rPr>
      </w:pPr>
    </w:p>
    <w:p>
      <w:pPr>
        <w:ind w:right="260" w:firstLine="1952"/>
        <w:spacing w:after="0" w:line="266" w:lineRule="auto"/>
        <w:tabs>
          <w:tab w:leader="none" w:pos="225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specifically provided by the Committee and permitted pursuant to Form S-8 and the instructions thereto, an Award may be transferred by a Participant on such terms and conditions as the Committee may from time to time establish;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Award (other than a Stock Award) may be transferred to a third-party financial institution for value.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4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may be transferred pursuant to a domestic relations order entered or approved by a court of competent jurisdiction upon delivery to the Company of a written request for such transfer and a certified copy of such order.</w:t>
      </w:r>
    </w:p>
    <w:p>
      <w:pPr>
        <w:spacing w:after="0" w:line="161" w:lineRule="exact"/>
        <w:rPr>
          <w:rFonts w:ascii="Times New Roman" w:cs="Times New Roman" w:eastAsia="Times New Roman" w:hAnsi="Times New Roman"/>
          <w:sz w:val="18"/>
          <w:szCs w:val="18"/>
          <w:color w:val="auto"/>
        </w:rPr>
      </w:pPr>
    </w:p>
    <w:p>
      <w:pPr>
        <w:ind w:right="100" w:firstLine="1304"/>
        <w:spacing w:after="0" w:line="255" w:lineRule="auto"/>
        <w:tabs>
          <w:tab w:leader="none" w:pos="15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under Awards; Deferrals</w:t>
      </w:r>
      <w:r>
        <w:rPr>
          <w:rFonts w:ascii="Times New Roman" w:cs="Times New Roman" w:eastAsia="Times New Roman" w:hAnsi="Times New Roman"/>
          <w:sz w:val="18"/>
          <w:szCs w:val="18"/>
          <w:color w:val="auto"/>
        </w:rPr>
        <w:t xml:space="preserve">. Subject to the terms of the Plan and any applicable Award Agreement, payments to be made by the Company or any Affiliates upon the exercise or settlement of an Award may be made in such forms as the Committee shall determine in its discretion, including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deferred or installment payments will be set forth in the Award Agreement. Payments may include, without limitation, provisions for the payment or crediting of reasonable interest on installment or deferred payments or the grant or crediting of Dividend Equivalents or other amounts in respect of installment or deferred payments denominated in Stock.</w:t>
      </w:r>
    </w:p>
    <w:p>
      <w:pPr>
        <w:spacing w:after="0" w:line="188" w:lineRule="exact"/>
        <w:rPr>
          <w:rFonts w:ascii="Times New Roman" w:cs="Times New Roman" w:eastAsia="Times New Roman" w:hAnsi="Times New Roman"/>
          <w:sz w:val="18"/>
          <w:szCs w:val="18"/>
          <w:color w:val="auto"/>
        </w:rPr>
      </w:pPr>
    </w:p>
    <w:p>
      <w:pPr>
        <w:ind w:right="40" w:firstLine="1304"/>
        <w:spacing w:after="0" w:line="255"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Evidencing Stock</w:t>
      </w:r>
      <w:r>
        <w:rPr>
          <w:rFonts w:ascii="Times New Roman" w:cs="Times New Roman" w:eastAsia="Times New Roman" w:hAnsi="Times New Roman"/>
          <w:sz w:val="18"/>
          <w:szCs w:val="18"/>
          <w:color w:val="auto"/>
        </w:rPr>
        <w:t>. The Stock or other securities of the Company delivered pursuant to an Award may be evidenced in any manner deemed appropriate by the Committee in its sole discretion, including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 any stock exchange upon which such Stock or other securities are then listed, and any applicable federal, state or other laws, and the Committee may cause a legend or legends to be inscribed on any such certificates to make appropriate reference to such restrictions. Further, if certificates representing Restricted Stock are registered in the name of the Participant, the Company may retain physical possession of the certificates and may require that the Participant deliver a stock power to the Company, endorsed in blank, related to the Restricted Stock.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left="-20" w:right="220" w:firstLine="1304"/>
        <w:spacing w:after="0" w:line="282" w:lineRule="auto"/>
        <w:tabs>
          <w:tab w:leader="none" w:pos="153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for Grants</w:t>
      </w:r>
      <w:r>
        <w:rPr>
          <w:rFonts w:ascii="Times New Roman" w:cs="Times New Roman" w:eastAsia="Times New Roman" w:hAnsi="Times New Roman"/>
          <w:sz w:val="18"/>
          <w:szCs w:val="18"/>
          <w:color w:val="auto"/>
        </w:rPr>
        <w:t>. Awards may be granted for such consideration, including services, as the Committee shall determine, but shall not be granted for less than the minimum lawful consideration.</w:t>
      </w:r>
    </w:p>
    <w:p>
      <w:pPr>
        <w:spacing w:after="0" w:line="161" w:lineRule="exact"/>
        <w:rPr>
          <w:rFonts w:ascii="Times New Roman" w:cs="Times New Roman" w:eastAsia="Times New Roman" w:hAnsi="Times New Roman"/>
          <w:sz w:val="18"/>
          <w:szCs w:val="18"/>
          <w:color w:val="auto"/>
        </w:rPr>
      </w:pPr>
    </w:p>
    <w:p>
      <w:pPr>
        <w:ind w:left="-20" w:right="200" w:firstLine="1304"/>
        <w:spacing w:after="0" w:line="261" w:lineRule="auto"/>
        <w:tabs>
          <w:tab w:leader="none" w:pos="15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Each Eligible Person to whom an Award is granted under the Plan may be required to agree in writing, as a condition to the grant of such Award or otherwise, to subject an Award that is exercised or settled following such Eligible Person’s termination of employment or service to a general release of claims and/or a noncompetition or other restricted covenant agreement in favor of the Company and the Affiliates, with the terms and conditions of such agreement(s) to be determined in good faith by the Committee.</w:t>
      </w:r>
    </w:p>
    <w:p>
      <w:pPr>
        <w:spacing w:after="0" w:line="175"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Subdivision or Consolidation; Recapitalization; Change in Control; Reorganization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firstLine="1304"/>
        <w:spacing w:after="0" w:line="258" w:lineRule="auto"/>
        <w:tabs>
          <w:tab w:leader="none" w:pos="15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of Plans and Awards</w:t>
      </w:r>
      <w:r>
        <w:rPr>
          <w:rFonts w:ascii="Times New Roman" w:cs="Times New Roman" w:eastAsia="Times New Roman" w:hAnsi="Times New Roman"/>
          <w:sz w:val="18"/>
          <w:szCs w:val="18"/>
          <w:color w:val="auto"/>
        </w:rPr>
        <w:t>. The existence of the Plan and the Awards granted hereunder shall not affect in any way the right or power of the Company, the Board or the stockholders of the Company to make or 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w:t>
      </w:r>
    </w:p>
    <w:p>
      <w:pPr>
        <w:spacing w:after="0" w:line="183" w:lineRule="exact"/>
        <w:rPr>
          <w:rFonts w:ascii="Times New Roman" w:cs="Times New Roman" w:eastAsia="Times New Roman" w:hAnsi="Times New Roman"/>
          <w:sz w:val="18"/>
          <w:szCs w:val="18"/>
          <w:color w:val="auto"/>
        </w:rPr>
      </w:pPr>
    </w:p>
    <w:p>
      <w:pPr>
        <w:ind w:left="-20" w:firstLine="1304"/>
        <w:spacing w:after="0" w:line="261" w:lineRule="auto"/>
        <w:tabs>
          <w:tab w:leader="none" w:pos="153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Issuances</w:t>
      </w:r>
      <w:r>
        <w:rPr>
          <w:rFonts w:ascii="Times New Roman" w:cs="Times New Roman" w:eastAsia="Times New Roman" w:hAnsi="Times New Roman"/>
          <w:sz w:val="18"/>
          <w:szCs w:val="18"/>
          <w:color w:val="auto"/>
        </w:rPr>
        <w:t>. Except as expressly provided herein, the issuance by the Company of shares of stock of any class, including 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179" w:lineRule="exact"/>
        <w:rPr>
          <w:rFonts w:ascii="Times New Roman" w:cs="Times New Roman" w:eastAsia="Times New Roman" w:hAnsi="Times New Roman"/>
          <w:sz w:val="18"/>
          <w:szCs w:val="18"/>
          <w:color w:val="auto"/>
        </w:rPr>
      </w:pPr>
    </w:p>
    <w:p>
      <w:pPr>
        <w:ind w:left="-20" w:right="40" w:firstLine="1304"/>
        <w:spacing w:after="0" w:line="282" w:lineRule="auto"/>
        <w:tabs>
          <w:tab w:leader="none" w:pos="15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Consolidation of Shares</w:t>
      </w:r>
      <w:r>
        <w:rPr>
          <w:rFonts w:ascii="Times New Roman" w:cs="Times New Roman" w:eastAsia="Times New Roman" w:hAnsi="Times New Roman"/>
          <w:sz w:val="18"/>
          <w:szCs w:val="18"/>
          <w:color w:val="auto"/>
        </w:rPr>
        <w:t>. The terms of an Award and the share limitations under the Plan shall be subject to adjustment by the Committee from time to time, in accordance with the following provisions:</w:t>
      </w:r>
    </w:p>
    <w:p>
      <w:pPr>
        <w:spacing w:after="0" w:line="161" w:lineRule="exact"/>
        <w:rPr>
          <w:rFonts w:ascii="Times New Roman" w:cs="Times New Roman" w:eastAsia="Times New Roman" w:hAnsi="Times New Roman"/>
          <w:sz w:val="18"/>
          <w:szCs w:val="18"/>
          <w:color w:val="auto"/>
        </w:rPr>
      </w:pPr>
    </w:p>
    <w:p>
      <w:pPr>
        <w:ind w:left="-20" w:right="40" w:firstLine="1952"/>
        <w:spacing w:after="0" w:line="253" w:lineRule="auto"/>
        <w:tabs>
          <w:tab w:leader="none" w:pos="2139"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delivery with respect to Awards and applicable limitations with respect to Awards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cash limits) shall be increased proportionately, and the kind of shares or other securities available for the Plan shall be appropriately adjusted, (B) the number of shares of Stock (or other kind of shares or securities) that may be acquired under any then-outstanding Award shall be increased proportionately, and (C) the price (including the Exercise Price or grant price) for each share of Stock (or other kind of shares or securities) subject to then-outstanding Awards shall be reduced proportionately, without changing the aggregate purchase price or value as to which outstanding Awards remain exercisable or subject to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an extraordinary cash dividend that is not an Adjustment Event, the adjustment to the number of shares of Stock and the Exercise Price or grant price, as applicable, with respect to an outstanding Option or SAR may be made in such other manner as the Committee may determine that is permitted pursuant to applicable tax and other laws, rules and regulations. Notwithstanding the foregoing, Awards that already have a right to receive extraordinary cash dividends as a result of Dividend Equivalents or other dividend rights will not be adjusted as a result of an extraordinary cash dividend.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67" w:name="page68"/>
    <w:bookmarkEnd w:id="67"/>
    <w:p>
      <w:pPr>
        <w:ind w:left="-20" w:firstLine="1952"/>
        <w:spacing w:after="0" w:line="254" w:lineRule="auto"/>
        <w:tabs>
          <w:tab w:leader="none" w:pos="218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with respect to Awards and applicable limitations with respect to Awards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cash limits) shall be decreased proportionately, and the kind of shares or other securities available for the Plan shall be appropriately adjusted, (B) the number of shares of Stock (or other kind of shares or securities) that may be acquired under any then-outstanding Award shall be decreased proportionately, and (C) the price (including the Exercise Price or grant price) for each share of Stock (or other kind of shares or securities) subject to then-outstanding Awards shall be increased proportionately, without changing the aggregate purchase price or value as to which outstanding Awards remain exercisable or subject to restrictions.</w:t>
      </w:r>
    </w:p>
    <w:p>
      <w:pPr>
        <w:spacing w:after="0" w:line="191" w:lineRule="exact"/>
        <w:rPr>
          <w:rFonts w:ascii="Times New Roman" w:cs="Times New Roman" w:eastAsia="Times New Roman" w:hAnsi="Times New Roman"/>
          <w:sz w:val="18"/>
          <w:szCs w:val="18"/>
          <w:color w:val="auto"/>
        </w:rPr>
      </w:pPr>
    </w:p>
    <w:p>
      <w:pPr>
        <w:ind w:left="-20" w:firstLine="1304"/>
        <w:spacing w:after="0" w:line="253" w:lineRule="auto"/>
        <w:tabs>
          <w:tab w:leader="none" w:pos="15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In the event of any change in the capital structure or business of the Company or other corporate transaction or event that would be considered an “equity restructuring” within the meaning of ASC Topic 718 and, in each case, that would result in an additional compensation expense to the Company pursuant to the provisions of ASC Topic 718, if adjustments to Awards with respect to such event were discretionary or otherwise not required (each such an event, an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then the Committee shall equitably adjust (i) the aggregate number or kind of shares that thereafter may be delivered under the Plan, (ii) the number or kind of shares or other property (including cash) subject to an Award, (iii) the terms and conditions of Awards, including the purchase price or Exercise Price of Awards and performance goals, as applicable, and (iv) the applicable limitations with respect to Awards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cash limits) to equitably reflect such Adjustment Event (“</w:t>
      </w:r>
      <w:r>
        <w:rPr>
          <w:rFonts w:ascii="Times New Roman" w:cs="Times New Roman" w:eastAsia="Times New Roman" w:hAnsi="Times New Roman"/>
          <w:sz w:val="18"/>
          <w:szCs w:val="18"/>
          <w:b w:val="1"/>
          <w:bCs w:val="1"/>
          <w:i w:val="1"/>
          <w:iCs w:val="1"/>
          <w:color w:val="auto"/>
        </w:rPr>
        <w:t>Equitable Adjustments</w:t>
      </w:r>
      <w:r>
        <w:rPr>
          <w:rFonts w:ascii="Times New Roman" w:cs="Times New Roman" w:eastAsia="Times New Roman" w:hAnsi="Times New Roman"/>
          <w:sz w:val="18"/>
          <w:szCs w:val="18"/>
          <w:color w:val="auto"/>
        </w:rPr>
        <w:t xml:space="preserve">”). In the event of any change in the capital structure or business of the Company or other corporate transaction or event that would not be considered an Adjustment Event, and is not otherwise addressed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Committee shall have complete discretion to make Equitable Adjustments (if any) in such manner as it deems appropriate with respect to such other event.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68" w:name="page69"/>
    <w:bookmarkEnd w:id="68"/>
    <w:p>
      <w:pPr>
        <w:ind w:right="140" w:firstLine="1304"/>
        <w:spacing w:after="0" w:line="256"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and Other Events</w:t>
      </w:r>
      <w:r>
        <w:rPr>
          <w:rFonts w:ascii="Times New Roman" w:cs="Times New Roman" w:eastAsia="Times New Roman" w:hAnsi="Times New Roman"/>
          <w:sz w:val="18"/>
          <w:szCs w:val="18"/>
          <w:color w:val="auto"/>
        </w:rPr>
        <w:t xml:space="preserve">. In the event of a Change in Control or other changes in the Company or the outstanding Stock by reason of a recapitalization, reorganization, merger, consolidation, combination, exchange or other relevant change occurring after the date of the grant of any Award, the Committee, acting in its sole discretion without the consent or approval of any holder, may exercise any power enumerated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(including the power to accelerate vesting, waive any forfeiture conditions or otherwise modify or adjust any other condition or limitation regarding an Award) and may also effect one or more of the following alternatives, which may vary among individual holders and which may vary among Awards held by any individual holder:</w:t>
      </w:r>
    </w:p>
    <w:p>
      <w:pPr>
        <w:spacing w:after="0" w:line="187" w:lineRule="exact"/>
        <w:rPr>
          <w:rFonts w:ascii="Times New Roman" w:cs="Times New Roman" w:eastAsia="Times New Roman" w:hAnsi="Times New Roman"/>
          <w:sz w:val="18"/>
          <w:szCs w:val="18"/>
          <w:color w:val="auto"/>
        </w:rPr>
      </w:pPr>
    </w:p>
    <w:p>
      <w:pPr>
        <w:jc w:val="both"/>
        <w:ind w:right="60" w:firstLine="1952"/>
        <w:spacing w:after="0" w:line="312" w:lineRule="auto"/>
        <w:tabs>
          <w:tab w:leader="none" w:pos="215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the time of exercisability of an Award so that such Award may be exercised in full or in part for a limited period of time on or before a date specified by the Committee, after which specified date all unexercised Awards and all rights of holders thereunder shall terminate;</w:t>
      </w:r>
    </w:p>
    <w:p>
      <w:pPr>
        <w:spacing w:after="0" w:line="139" w:lineRule="exact"/>
        <w:rPr>
          <w:rFonts w:ascii="Times New Roman" w:cs="Times New Roman" w:eastAsia="Times New Roman" w:hAnsi="Times New Roman"/>
          <w:sz w:val="17"/>
          <w:szCs w:val="17"/>
          <w:color w:val="auto"/>
        </w:rPr>
      </w:pPr>
    </w:p>
    <w:p>
      <w:pPr>
        <w:ind w:right="80" w:firstLine="1952"/>
        <w:spacing w:after="0" w:line="255" w:lineRule="auto"/>
        <w:tabs>
          <w:tab w:leader="none" w:pos="220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in whole or in part outstanding Awards by requiring the mandatory surrender to the Company by selected holders of some or all of the outstanding Awards held by such holders (irrespective of whether such Awards are then vested or exercisable) as of a date, specified by the Committee, in which event the Committee shall thereupon cancel such Awards and pay to each holder an amount of cash or other consideration per Award (other than a Dividend Equivalent or Cash Award, which the Committee may separately require to be surrendered in exchange for cash or other consideration determined by the Committee in its discretion) equal to the Change in Control Price, less the Exercise Price with respect to an Option and less the grant price with respect to an SAR, as applicable to such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 Exercise Price of an Option or the grant price of an SAR exceeds the Change in Control Price, such Award may be cancelled for no consideration;</w:t>
      </w:r>
    </w:p>
    <w:p>
      <w:pPr>
        <w:spacing w:after="0" w:line="188" w:lineRule="exact"/>
        <w:rPr>
          <w:rFonts w:ascii="Times New Roman" w:cs="Times New Roman" w:eastAsia="Times New Roman" w:hAnsi="Times New Roman"/>
          <w:sz w:val="18"/>
          <w:szCs w:val="18"/>
          <w:color w:val="auto"/>
        </w:rPr>
      </w:pPr>
    </w:p>
    <w:p>
      <w:pPr>
        <w:ind w:right="280" w:firstLine="1952"/>
        <w:spacing w:after="0" w:line="282" w:lineRule="auto"/>
        <w:tabs>
          <w:tab w:leader="none" w:pos="225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Awards that remain subject to a restricted period as of the date of a Change in Control or other such event without payment of any consideration to the Participant for such Awards; or</w:t>
      </w:r>
    </w:p>
    <w:p>
      <w:pPr>
        <w:spacing w:after="0" w:line="161" w:lineRule="exact"/>
        <w:rPr>
          <w:rFonts w:ascii="Times New Roman" w:cs="Times New Roman" w:eastAsia="Times New Roman" w:hAnsi="Times New Roman"/>
          <w:sz w:val="18"/>
          <w:szCs w:val="18"/>
          <w:color w:val="auto"/>
        </w:rPr>
      </w:pPr>
    </w:p>
    <w:p>
      <w:pPr>
        <w:ind w:right="200" w:firstLine="1952"/>
        <w:spacing w:after="0" w:line="312" w:lineRule="auto"/>
        <w:tabs>
          <w:tab w:leader="none" w:pos="224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 long as the event is not an Adjustment Event, the Committee may determine in its sole discretion that no adjustment is necessary to Awards then outstanding. If an Adjustment Event occurs, this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shall only apply to the extent it is not in conflict with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40" w:firstLine="1304"/>
        <w:spacing w:after="0" w:line="253"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and any Affiliate are authorized to withhold from any Award granted, or any payment relating to an Award, including from a distribution of Stock, taxes due or potentially payable in connection with any transaction involving an Award, and to take such other action as the Committee may deem advisable to enable the Company, the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40" w:right="40" w:firstLine="1304"/>
        <w:spacing w:after="0" w:line="256" w:lineRule="auto"/>
        <w:tabs>
          <w:tab w:leader="none" w:pos="15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Rights Conferred under Plan</w:t>
      </w:r>
      <w:r>
        <w:rPr>
          <w:rFonts w:ascii="Times New Roman" w:cs="Times New Roman" w:eastAsia="Times New Roman" w:hAnsi="Times New Roman"/>
          <w:sz w:val="18"/>
          <w:szCs w:val="18"/>
          <w:color w:val="auto"/>
        </w:rPr>
        <w:t>. Neither the Plan nor any action taken hereunder shall be construed as (i) giving any Eligible Person or Participant the right to continue as an Eligible Person or Participant or in the employ or service of the Company or any Affiliate, (ii) interfering in any way with the right of the Company or any Affiliate to terminate any Eligible Person’s or Participant’s employment or service relationship at any time, (iii) giving an Eligible Person or Participant any claim to be granted any Award under the Plan or to be treated uniformly with other Participants and/or employees and/or other service providers, or (iv) conferring on a Participant any of the rights of a stockholder of the Company unless and until the Participant is duly issued or transferred shares of Stock in accordance with the terms of an Award.</w:t>
      </w:r>
    </w:p>
    <w:p>
      <w:pPr>
        <w:spacing w:after="0" w:line="187" w:lineRule="exact"/>
        <w:rPr>
          <w:rFonts w:ascii="Times New Roman" w:cs="Times New Roman" w:eastAsia="Times New Roman" w:hAnsi="Times New Roman"/>
          <w:sz w:val="18"/>
          <w:szCs w:val="18"/>
          <w:color w:val="auto"/>
        </w:rPr>
      </w:pPr>
    </w:p>
    <w:p>
      <w:pPr>
        <w:ind w:left="-40" w:firstLine="1304"/>
        <w:spacing w:after="0" w:line="256"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 With respect to any claim or dispute related to or arising under the Plan, the Company and each Participant who accepts an Award hereby consent to the exclusive jurisdiction, forum and venue of the state and federal courts located in Wilmington, Delaware.</w:t>
      </w:r>
    </w:p>
    <w:p>
      <w:pPr>
        <w:spacing w:after="0" w:line="187" w:lineRule="exact"/>
        <w:rPr>
          <w:rFonts w:ascii="Times New Roman" w:cs="Times New Roman" w:eastAsia="Times New Roman" w:hAnsi="Times New Roman"/>
          <w:sz w:val="18"/>
          <w:szCs w:val="18"/>
          <w:color w:val="auto"/>
        </w:rPr>
      </w:pPr>
    </w:p>
    <w:p>
      <w:pPr>
        <w:ind w:left="-40" w:right="20" w:firstLine="1304"/>
        <w:spacing w:after="0" w:line="256" w:lineRule="auto"/>
        <w:tabs>
          <w:tab w:leader="none" w:pos="15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A breach of any of the provisions of the Plan or any associated Award Agreement by a Participant would cause irreparable harm to the Company and its Affiliates, and the damages relating to any such breach may be difficult to calculate. As such, the Company shall be entitled to pursue specific performance and other equitable relief, including an injunction to prevent a breach of any of the provisions of the Plan or any associated Award Agreement. The remedies described in this paragraph shall not be deemed to be the exclusive remedies available to the Company for a breach by a Participant of any of the provisions of the Plan or any associated Award Agreement, but shall be in addition to all other remedies available at law or equity.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70" w:name="page71"/>
    <w:bookmarkEnd w:id="70"/>
    <w:p>
      <w:pPr>
        <w:ind w:left="-20" w:firstLine="1304"/>
        <w:spacing w:after="0" w:line="253" w:lineRule="auto"/>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Reformation</w:t>
      </w:r>
      <w:r>
        <w:rPr>
          <w:rFonts w:ascii="Times New Roman" w:cs="Times New Roman" w:eastAsia="Times New Roman" w:hAnsi="Times New Roman"/>
          <w:sz w:val="18"/>
          <w:szCs w:val="18"/>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Eligible Persons who are subject to Section 16 of the Exchange Act) or Section 422 of the Code (with respect to ISOs),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ISOs, if the Plan does not contain any provision required to be included herein under Section 422 of the Code, that provision shall be deemed to be incorporated herein with the same force and effect as if that provision had been set out at length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any Option that is intended to qualify as an ISO cannot so qualify, that Option (to that extent) shall be deemed a Nonstatutory Option for all purposes of the Plan.</w:t>
      </w:r>
    </w:p>
    <w:p>
      <w:pPr>
        <w:spacing w:after="0" w:line="187" w:lineRule="exact"/>
        <w:rPr>
          <w:rFonts w:ascii="Times New Roman" w:cs="Times New Roman" w:eastAsia="Times New Roman" w:hAnsi="Times New Roman"/>
          <w:sz w:val="18"/>
          <w:szCs w:val="18"/>
          <w:color w:val="auto"/>
        </w:rPr>
      </w:pPr>
    </w:p>
    <w:p>
      <w:pPr>
        <w:jc w:val="both"/>
        <w:ind w:left="-20" w:right="260" w:firstLine="1304"/>
        <w:spacing w:after="0" w:line="261" w:lineRule="auto"/>
        <w:tabs>
          <w:tab w:leader="none" w:pos="15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Status of Awards; No Trust or Fund Created</w:t>
      </w:r>
      <w:r>
        <w:rPr>
          <w:rFonts w:ascii="Times New Roman" w:cs="Times New Roman" w:eastAsia="Times New Roman" w:hAnsi="Times New Roman"/>
          <w:sz w:val="18"/>
          <w:szCs w:val="18"/>
          <w:color w:val="auto"/>
        </w:rPr>
        <w:t>. The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79" w:lineRule="exact"/>
        <w:rPr>
          <w:rFonts w:ascii="Times New Roman" w:cs="Times New Roman" w:eastAsia="Times New Roman" w:hAnsi="Times New Roman"/>
          <w:sz w:val="18"/>
          <w:szCs w:val="18"/>
          <w:color w:val="auto"/>
        </w:rPr>
      </w:pPr>
    </w:p>
    <w:p>
      <w:pPr>
        <w:ind w:left="-20" w:right="160" w:firstLine="1304"/>
        <w:spacing w:after="0" w:line="256" w:lineRule="auto"/>
        <w:tabs>
          <w:tab w:leader="none" w:pos="15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nor its submission to the stockholders of the Company for approval shall be construed as creating any limitations on the power of the Board or a committee thereof to adopt such other incentive arrangements as it may deem desirable.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beneficiary or other person shall have any claim against the Company or any Affiliate as a result of any such action.</w:t>
      </w:r>
    </w:p>
    <w:p>
      <w:pPr>
        <w:spacing w:after="0" w:line="187" w:lineRule="exact"/>
        <w:rPr>
          <w:rFonts w:ascii="Times New Roman" w:cs="Times New Roman" w:eastAsia="Times New Roman" w:hAnsi="Times New Roman"/>
          <w:sz w:val="18"/>
          <w:szCs w:val="18"/>
          <w:color w:val="auto"/>
        </w:rPr>
      </w:pPr>
    </w:p>
    <w:p>
      <w:pPr>
        <w:ind w:left="-20" w:right="80" w:firstLine="1304"/>
        <w:spacing w:after="0" w:line="266" w:lineRule="auto"/>
        <w:tabs>
          <w:tab w:leader="none" w:pos="15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Stock shall be issued or delivered pursuant to the Plan or any Award, and the Committee shall determine in its sole discretion whether cash, other securities, or other property shall be paid or transferred in lieu of any fractional shares of Stock or whether such fractional shares of Stock or any rights thereto shall be cancelled, terminated, or otherwise eliminated with or without consideration.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71" w:name="page72"/>
    <w:bookmarkEnd w:id="71"/>
    <w:p>
      <w:pPr>
        <w:ind w:left="-20" w:right="40" w:firstLine="1304"/>
        <w:spacing w:after="0" w:line="253" w:lineRule="auto"/>
        <w:tabs>
          <w:tab w:leader="none" w:pos="14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Headings are given to the Sections and subsections of the Plan solely as a convenience to facilitate reference. Such 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194" w:lineRule="exact"/>
        <w:rPr>
          <w:rFonts w:ascii="Times New Roman" w:cs="Times New Roman" w:eastAsia="Times New Roman" w:hAnsi="Times New Roman"/>
          <w:sz w:val="18"/>
          <w:szCs w:val="18"/>
          <w:color w:val="auto"/>
        </w:rPr>
      </w:pPr>
    </w:p>
    <w:p>
      <w:pPr>
        <w:ind w:left="-20" w:right="160" w:firstLine="1304"/>
        <w:spacing w:after="0" w:line="266" w:lineRule="auto"/>
        <w:tabs>
          <w:tab w:leader="none" w:pos="14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of Payment</w:t>
      </w:r>
      <w:r>
        <w:rPr>
          <w:rFonts w:ascii="Times New Roman" w:cs="Times New Roman" w:eastAsia="Times New Roman" w:hAnsi="Times New Roman"/>
          <w:sz w:val="18"/>
          <w:szCs w:val="18"/>
          <w:color w:val="auto"/>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75" w:lineRule="exact"/>
        <w:rPr>
          <w:rFonts w:ascii="Times New Roman" w:cs="Times New Roman" w:eastAsia="Times New Roman" w:hAnsi="Times New Roman"/>
          <w:sz w:val="18"/>
          <w:szCs w:val="18"/>
          <w:color w:val="auto"/>
        </w:rPr>
      </w:pPr>
    </w:p>
    <w:p>
      <w:pPr>
        <w:ind w:left="-20" w:firstLine="1304"/>
        <w:spacing w:after="0" w:line="252" w:lineRule="auto"/>
        <w:tabs>
          <w:tab w:leader="none" w:pos="15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Delivery of Stock</w:t>
      </w:r>
      <w:r>
        <w:rPr>
          <w:rFonts w:ascii="Times New Roman" w:cs="Times New Roman" w:eastAsia="Times New Roman" w:hAnsi="Times New Roman"/>
          <w:sz w:val="18"/>
          <w:szCs w:val="18"/>
          <w:color w:val="auto"/>
        </w:rPr>
        <w:t>. Nothing herein or in any Award Agreement shall require the Company to issue any shares with 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Stock that is acquired upon grant, exercise or vesting of an Award in any manner that would constitute a violation of any applicable federal or state securities laws, the Plan or the rules, regulations or other requirements of the SEC or any stock exchange upon which the Stock is then listed. At the time of any exercise of an Option or SAR, or at the time of any grant of any other Award, the Company may, as a condition precedent to the exercise of such Option or SAR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72" w:name="page73"/>
    <w:bookmarkEnd w:id="72"/>
    <w:p>
      <w:pPr>
        <w:ind w:left="-80" w:right="60" w:firstLine="1304"/>
        <w:spacing w:after="0" w:line="252" w:lineRule="auto"/>
        <w:tabs>
          <w:tab w:leader="none" w:pos="14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It is the general intention, but not the obligation, of the Committee to design Awards to comply with or to be exempt from the Nonqualified Deferred Compensation Rules, and Awards will be operated and construed accordingly. Neither this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 xml:space="preserve">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Times New Roman" w:cs="Times New Roman" w:eastAsia="Times New Roman" w:hAnsi="Times New Roman"/>
          <w:sz w:val="18"/>
          <w:szCs w:val="18"/>
          <w:b w:val="1"/>
          <w:bCs w:val="1"/>
          <w:i w:val="1"/>
          <w:iCs w:val="1"/>
          <w:color w:val="auto"/>
        </w:rPr>
        <w:t>Section 409A Payment Date</w:t>
      </w:r>
      <w:r>
        <w:rPr>
          <w:rFonts w:ascii="Times New Roman" w:cs="Times New Roman" w:eastAsia="Times New Roman" w:hAnsi="Times New Roman"/>
          <w:sz w:val="18"/>
          <w:szCs w:val="18"/>
          <w:color w:val="auto"/>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The applicable provisions of the Nonqualified Deferred Compensation Rules are hereby incorporated by reference and shall control over any Plan or Award Agreement provision in conflict therewith.</w:t>
      </w:r>
    </w:p>
    <w:p>
      <w:pPr>
        <w:spacing w:after="0" w:line="197" w:lineRule="exact"/>
        <w:rPr>
          <w:rFonts w:ascii="Times New Roman" w:cs="Times New Roman" w:eastAsia="Times New Roman" w:hAnsi="Times New Roman"/>
          <w:sz w:val="18"/>
          <w:szCs w:val="18"/>
          <w:color w:val="auto"/>
        </w:rPr>
      </w:pPr>
    </w:p>
    <w:p>
      <w:pPr>
        <w:ind w:left="-80" w:firstLine="1304"/>
        <w:spacing w:after="0" w:line="256" w:lineRule="auto"/>
        <w:tabs>
          <w:tab w:leader="none" w:pos="15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Plan and all Awards granted hereunder are subject to any written clawback policies that the Company, with the approval of the Board or an authorized committee thereof, may adopt either prior to or following the Effective Date, including any policy adopted to conform to the Dodd-Frank Wall Street Reform and Consumer Protection Act of 2010 and rules promulgated thereunder by the SEC and that the Company determines should apply to Awards. Any such policy may subject a Participant’s Awards and amounts paid or realized with respect to Awards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w:t>
      </w:r>
    </w:p>
    <w:p>
      <w:pPr>
        <w:spacing w:after="0" w:line="187" w:lineRule="exact"/>
        <w:rPr>
          <w:rFonts w:ascii="Times New Roman" w:cs="Times New Roman" w:eastAsia="Times New Roman" w:hAnsi="Times New Roman"/>
          <w:sz w:val="18"/>
          <w:szCs w:val="18"/>
          <w:color w:val="auto"/>
        </w:rPr>
      </w:pPr>
    </w:p>
    <w:p>
      <w:pPr>
        <w:ind w:left="-80" w:right="700" w:firstLine="1304"/>
        <w:spacing w:after="0" w:line="282" w:lineRule="auto"/>
        <w:tabs>
          <w:tab w:leader="none" w:pos="14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ERISA</w:t>
      </w:r>
      <w:r>
        <w:rPr>
          <w:rFonts w:ascii="Times New Roman" w:cs="Times New Roman" w:eastAsia="Times New Roman" w:hAnsi="Times New Roman"/>
          <w:sz w:val="18"/>
          <w:szCs w:val="18"/>
          <w:color w:val="auto"/>
        </w:rPr>
        <w:t>. The Plan shall not constitute an “employee benefit plan” for purposes of Section 3(3) of the Employee Retirement Income Security Act of 1974, as amended.</w:t>
      </w:r>
    </w:p>
    <w:p>
      <w:pPr>
        <w:spacing w:after="0" w:line="161" w:lineRule="exact"/>
        <w:rPr>
          <w:rFonts w:ascii="Times New Roman" w:cs="Times New Roman" w:eastAsia="Times New Roman" w:hAnsi="Times New Roman"/>
          <w:sz w:val="18"/>
          <w:szCs w:val="18"/>
          <w:color w:val="auto"/>
        </w:rPr>
      </w:pPr>
    </w:p>
    <w:p>
      <w:pPr>
        <w:ind w:left="-80" w:right="80" w:firstLine="1304"/>
        <w:spacing w:after="0" w:line="258" w:lineRule="auto"/>
        <w:tabs>
          <w:tab w:leader="none" w:pos="14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Effective Date and Term</w:t>
      </w:r>
      <w:r>
        <w:rPr>
          <w:rFonts w:ascii="Times New Roman" w:cs="Times New Roman" w:eastAsia="Times New Roman" w:hAnsi="Times New Roman"/>
          <w:sz w:val="18"/>
          <w:szCs w:val="18"/>
          <w:color w:val="auto"/>
        </w:rPr>
        <w:t xml:space="preserve">. The Plan was adopted by the Board to be effective on the Effective Date. No Awards may be granted under the Plan on and after the tenth anniversary of the Effective Date. However, any Award granted prior to such termination (or any earlier termination pursuant to </w:t>
      </w:r>
      <w:r>
        <w:rPr>
          <w:rFonts w:ascii="Times New Roman" w:cs="Times New Roman" w:eastAsia="Times New Roman" w:hAnsi="Times New Roman"/>
          <w:sz w:val="18"/>
          <w:szCs w:val="18"/>
          <w:u w:val="single" w:color="auto"/>
          <w:color w:val="auto"/>
        </w:rPr>
        <w:t>Section 9(o)</w:t>
      </w:r>
      <w:r>
        <w:rPr>
          <w:rFonts w:ascii="Times New Roman" w:cs="Times New Roman" w:eastAsia="Times New Roman" w:hAnsi="Times New Roman"/>
          <w:sz w:val="18"/>
          <w:szCs w:val="18"/>
          <w:color w:val="auto"/>
        </w:rPr>
        <w:t>), and the authority of the Board or Committee to amend, alter, adjust, suspend, discontinue, or terminate any such Award or to waive any conditions or rights under such Award in accordance with the terms of the Plan, shall extend beyond such termination until the final disposition of such Award.</w:t>
      </w:r>
    </w:p>
    <w:p>
      <w:pPr>
        <w:spacing w:after="0" w:line="179" w:lineRule="exact"/>
        <w:rPr>
          <w:rFonts w:ascii="Times New Roman" w:cs="Times New Roman" w:eastAsia="Times New Roman" w:hAnsi="Times New Roman"/>
          <w:sz w:val="18"/>
          <w:szCs w:val="18"/>
          <w:color w:val="auto"/>
        </w:rPr>
      </w:pPr>
    </w:p>
    <w:p>
      <w:pPr>
        <w:ind w:left="-80" w:right="20" w:firstLine="1304"/>
        <w:spacing w:after="0" w:line="254" w:lineRule="auto"/>
        <w:tabs>
          <w:tab w:leader="none" w:pos="14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Plan and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Committee may amend, alter, suspend, discontinue or terminate any Award or Award Agreement, the Plan or the Committee’s authority to grant Awards without the consent of stockholders or Participants, except that any amendment or alteration to the Plan, including any increase in any share limitation, shall be subject to the approval of the Company’s stockholders not later than the annual meeting next following such Committee action if such stockholder approval is required by any federal or state law or regulation or the rules of any stock exchange or automated quotation system on which the Stock may then be listed or quoted, and the Committee may otherwise, in its discretion, determine to submit other changes to the Plan to stockholders for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an affected Participant, no such Committee action may materially and adversely affect the rights of such Participant under any previously granted and outstanding Award. For purposes of clarity, any adjustments made to Awards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will be deemed not to materially and adversely affect the rights of any Participant under any previously granted and outstanding Award and therefore may be made without the consent of affected Participants.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73" w:name="page74"/>
    <w:bookmarkEnd w:id="73"/>
    <w:p>
      <w:pPr>
        <w:ind w:left="10360"/>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OMNIBUS INCENTIVE PLAN</w:t>
      </w:r>
    </w:p>
    <w:p>
      <w:pPr>
        <w:spacing w:after="0" w:line="203"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THIS FIRST AMENDMENT (the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to the Stronghold Digital Mining, Inc. Omnibus Incentive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adopted by Stronghold Digital Mining,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Capitalized terms used but not defined herein shall have the meanings assigned to them in the Plan.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previously adopted the Plan;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9(p) of the Plan provides that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Compensation Committee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amend the Plan from time to time without the consent of any stockholders or Participants, except that any amendment or alteration to the Plan, that any amendment or alteration to the Plan, including any increase in any share limitation, shall be subject to the approval of the Company’s stockholders not later than the annual meeting next following such Committee action if such stockholder approval is required by any federal or state law or regulation or the rules of any stock exchange or automated quotation system on which the Stock may then be listed or quoted;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increase the number of shares of Stock available for delivery with respect to Awards; and</w:t>
      </w:r>
    </w:p>
    <w:p>
      <w:pPr>
        <w:spacing w:after="0" w:line="22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First Amendment shall be made effective as of date the First Amendment is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(such date,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Plan shall be amended as of the Amendment Effective Date, as set forth below:</w:t>
      </w:r>
    </w:p>
    <w:p>
      <w:pPr>
        <w:spacing w:after="0" w:line="229"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 of the Plan is hereby deleted and replaced in its entirety with the following:</w:t>
      </w:r>
    </w:p>
    <w:p>
      <w:pPr>
        <w:spacing w:after="0" w:line="225" w:lineRule="exact"/>
        <w:rPr>
          <w:sz w:val="20"/>
          <w:szCs w:val="20"/>
          <w:color w:val="auto"/>
        </w:rPr>
      </w:pPr>
    </w:p>
    <w:p>
      <w:pPr>
        <w:ind w:left="660" w:right="160" w:firstLine="648"/>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Number of Shares Available for Delivery</w:t>
      </w:r>
      <w:r>
        <w:rPr>
          <w:rFonts w:ascii="Times New Roman" w:cs="Times New Roman" w:eastAsia="Times New Roman" w:hAnsi="Times New Roman"/>
          <w:sz w:val="18"/>
          <w:szCs w:val="18"/>
          <w:color w:val="auto"/>
        </w:rPr>
        <w:t xml:space="preserve">. Subject to adjustment in a manner consistent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1,106,951 shares of Stock are reserved and available for delivery with respect to Awards.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Such total shall be available for the issuance of shares upon the exercise of ISOs; provided, that, on January 1 of each calendar year occurring after the Effective Date and prior to the tenth anniversary of the Effective Date, the total number of shares of Stock reserved and available for delivery with respect to Awards under the Plan shall increase by a number of shares of Stock equal to the lesser of (i) 3% of the total number of shares of Stock outstanding as of December 31 of the immediately preceding calendar year and (ii) such smaller number of shares of Stock as is determined by the Board.”</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except as amended hereby, the Plan is specifically ratified and reaffirmed.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0"/>
          <w:szCs w:val="20"/>
          <w:color w:val="auto"/>
        </w:rPr>
      </w:pPr>
    </w:p>
    <w:p>
      <w:pPr>
        <w:ind w:left="340" w:hanging="332"/>
        <w:spacing w:after="0" w:line="195" w:lineRule="auto"/>
        <w:tabs>
          <w:tab w:leader="none" w:pos="34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reserved and available for delivery reflect the 1-for-10 reverse stock split the Company effected on May 15, 2023 of its Stock and Class V common stock.</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INCENTIVE PLAN</w:t>
      </w:r>
    </w:p>
    <w:p>
      <w:pPr>
        <w:spacing w:after="0" w:line="203"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THIS SECOND AMENDMENT (the “</w:t>
      </w:r>
      <w:r>
        <w:rPr>
          <w:rFonts w:ascii="Times New Roman" w:cs="Times New Roman" w:eastAsia="Times New Roman" w:hAnsi="Times New Roman"/>
          <w:sz w:val="18"/>
          <w:szCs w:val="18"/>
          <w:b w:val="1"/>
          <w:bCs w:val="1"/>
          <w:i w:val="1"/>
          <w:iCs w:val="1"/>
          <w:color w:val="auto"/>
        </w:rPr>
        <w:t>Second Amendment</w:t>
      </w:r>
      <w:r>
        <w:rPr>
          <w:rFonts w:ascii="Times New Roman" w:cs="Times New Roman" w:eastAsia="Times New Roman" w:hAnsi="Times New Roman"/>
          <w:sz w:val="18"/>
          <w:szCs w:val="18"/>
          <w:color w:val="auto"/>
        </w:rPr>
        <w:t>”) to the Stronghold Digital Mining, Inc. Omnibus Incentive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adopted by Stronghold Digital Mining,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Capitalized terms used but not defined herein shall have the meanings assigned to them in the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previously adopted the Plan, effective October 19, 2021 and amended the Plan, effective January 18, 2023;</w:t>
      </w:r>
    </w:p>
    <w:p>
      <w:pPr>
        <w:spacing w:after="0" w:line="22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9(p) of the Plan provides that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Compensation Committee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may amend the Plan from time to time without the consent of any stockholders or Participants, except that any amendment or alteration to the Plan, including any increase in any share limitation, shall be subject to the approval of the Company’s stockholders not later than the next annual meeting following such Board or Committee action if such stockholder approval is required by any federal or state law or regulation or the rules of any stock exchange or automated quotation system on which the Stock may then be listed or quoted;</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 limit the Committee’s discretion to accelerate vesting under the Plan, (ii)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Stock available for delivery with respect to Awards, (iii) remove the “evergreen” feature for the number of shares of Stock available for delivery with respect to Awards, (iv) limit the ability for shares of Stock to be recycled back into the Plan, (iv) remove the “repricing” feature and the ability to exchange Awards without stockholder approval and (v) prohibit the cash buyout of Awards without stockholder approval; and</w:t>
      </w:r>
    </w:p>
    <w:p>
      <w:pPr>
        <w:spacing w:after="0" w:line="176"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Second Amendment shall be made effective as of, and contingent on, the date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is approved by the stockholders of the Company (such date,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Plan shall be amended as of the Amendment Effective Date, as set forth below: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3(a)(v) of the Plan is hereby deleted and replaced in its entirety with the following:</w:t>
      </w:r>
    </w:p>
    <w:p>
      <w:pPr>
        <w:spacing w:after="0" w:line="225"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“modify, waive or adjust any term or condition of an Award that has been granted, which may include the waiver of forfeiture restrictions, modification of the form of settlement of the Award (for example, from cash to Stock or vice versa), early termination of a performance period, or modification of any other condition or limitation regarding an Award; provided that such modification, waiver or exercise shall not include an acceleration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2. Section 4(a) of the Plan is hereby deleted and replaced in its entirety with the following:</w:t>
      </w:r>
    </w:p>
    <w:p>
      <w:pPr>
        <w:spacing w:after="0" w:line="2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Number of Shares Available for Delivery</w:t>
      </w:r>
      <w:r>
        <w:rPr>
          <w:rFonts w:ascii="Times New Roman" w:cs="Times New Roman" w:eastAsia="Times New Roman" w:hAnsi="Times New Roman"/>
          <w:sz w:val="17"/>
          <w:szCs w:val="17"/>
          <w:color w:val="auto"/>
        </w:rPr>
        <w:t xml:space="preserve">. Subject to adjustment in a manner consistent with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2,306,951 shares of Stock are reserved and available for delivery with respect to Awards and such total shall be available for the issuance of shares upon the exercise of ISOs.”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Section 4(c) of the Plan is hereby deleted and replaced in its entirety with the following:</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of Shares Not Delivered under Awards</w:t>
      </w:r>
      <w:r>
        <w:rPr>
          <w:rFonts w:ascii="Times New Roman" w:cs="Times New Roman" w:eastAsia="Times New Roman" w:hAnsi="Times New Roman"/>
          <w:sz w:val="18"/>
          <w:szCs w:val="18"/>
          <w:color w:val="auto"/>
        </w:rPr>
        <w:t>. Shares of Stock subject to an Award under the Plan that expires or is cancelled, forfeited, exchanged, settled in cash or otherwise terminated without the actual delivery of shares (Awards of Restricted Stock shall not be considered “delivered shares” for this purpose), will again be available for Awards. Notwithstanding the foregoing, (i) the number of shares tendered or withheld in payment of any exercise or purchase price of an Award or taxes relating to an Award, (ii) shares that were subject to an Option or an SAR but were not issued or delivered as a result of the net settlement or net exercise of such Option or SAR and (iii) shares repurchased on the open market with the proceeds of an Option’s exercise price, will not, in each case, be available for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Section 6(j) of the Plan is hereby deleted and replaced in its entirety with the following:</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may be granted in substitution or exchange for any other Award granted under the Plan or under another plan of the Company or an Affiliate or any other right of an Eligible Person to receive payment from the Company or an Affiliate. Awards may also be granted under the Plan in substitution for awards held by individuals who become Eligible Persons as a result of a merger, consolidation or acquisition of another entity or the assets of another entity by or with the Company or an Affiliate. Such Substitute Awards referred to in the immediately preceding sentence that are Options or SARs may have an exercise price that is less than the Fair Market Value of a share of Stock on the date of the substitution if such substitution complies with the Nonqualified Deferred Compensation Rules and other applicable laws and exchange rules.”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5. The following is added as a new Section 6(k) of the Plan:</w:t>
      </w:r>
    </w:p>
    <w:p>
      <w:pPr>
        <w:spacing w:after="0" w:line="225"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without the approval of the stockholders of the Company, the terms of outstanding Awards may not be amended to (i) reduce the Exercise Price or grant price of an outstanding Option or SAR, (ii) grant a new Option, SAR or other Award in substitution for, or upon the cancellation of, any previously granted Option or SAR that has the effect of reducing the Exercise Price or grant price thereof, (iii) exchange any Option or SAR for Stock, cash or other consideration when the Exercise Price or grant price per share of Stock under such Option or SAR exceeds the Fair Market Value of a share of Stock or (iv) take any other action that would be considered a “repricing” of an Option or SAR under the applicable listing standards of the national securities exchange on which the Stock is listed (if any).”</w:t>
      </w:r>
    </w:p>
    <w:p>
      <w:pPr>
        <w:spacing w:after="0" w:line="18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Second Amendment shall supersede any prior amendments to the Plan to the extent there is any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Second Amendment and such prior amendments;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except as amended hereby, the Plan is specifically ratified and reaffirmed.</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Privileged &amp;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INCENTIVE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14, 2025</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August 21, 2024, Bitfarms Ltd., a corporation organized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that certain Agreement and Plan of Merger, dated as of August 21, 2024, as amended by Amendment No. 1 to the 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September 12, 2024 (the “Merger Agreement”), by and among the Company, Backbone Mining Solutions LLC, a Delaware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 wholly owned, indirect subsidiary of the Company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Stronghold Digital Mining, Inc. (“</w:t>
      </w:r>
      <w:r>
        <w:rPr>
          <w:rFonts w:ascii="Times New Roman" w:cs="Times New Roman" w:eastAsia="Times New Roman" w:hAnsi="Times New Roman"/>
          <w:sz w:val="18"/>
          <w:szCs w:val="18"/>
          <w:u w:val="single" w:color="auto"/>
          <w:color w:val="auto"/>
        </w:rPr>
        <w:t>Stronghold</w:t>
      </w:r>
      <w:r>
        <w:rPr>
          <w:rFonts w:ascii="Times New Roman" w:cs="Times New Roman" w:eastAsia="Times New Roman" w:hAnsi="Times New Roman"/>
          <w:sz w:val="18"/>
          <w:szCs w:val="18"/>
          <w:color w:val="auto"/>
        </w:rPr>
        <w:t>”). Under the terms of the Merger Agreement,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acquire all issued and outstanding equity of Stronghold through a merger, in which Merger Sub will merge with and into Stronghold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Corporation Law of the State of Delaware, with Stronghold surviving the merger as a wholly owned, indirect subsidiary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the terms of the Merger Agreement, immediately prior to the Effective Time (as defined in the Merger Agreement), and without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action by the parties involved, each eligible share of Stronghold’s Class A common stock (“</w:t>
      </w:r>
      <w:r>
        <w:rPr>
          <w:rFonts w:ascii="Times New Roman" w:cs="Times New Roman" w:eastAsia="Times New Roman" w:hAnsi="Times New Roman"/>
          <w:sz w:val="18"/>
          <w:szCs w:val="18"/>
          <w:u w:val="single" w:color="auto"/>
          <w:color w:val="auto"/>
        </w:rPr>
        <w:t>Stronghold Shares</w:t>
      </w:r>
      <w:r>
        <w:rPr>
          <w:rFonts w:ascii="Times New Roman" w:cs="Times New Roman" w:eastAsia="Times New Roman" w:hAnsi="Times New Roman"/>
          <w:sz w:val="18"/>
          <w:szCs w:val="18"/>
          <w:color w:val="auto"/>
        </w:rPr>
        <w:t>”) will be converted into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2.52 fully paid and nonassessable common shares of the Company, after which all Stronghold Shares will be automatically canceled and cease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w:t>
      </w:r>
    </w:p>
    <w:p>
      <w:pPr>
        <w:spacing w:after="0" w:line="20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approved the assumption and sponsorship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Omnibus Incentive Plan, effective October 19, 2021, as amended by the First Amendment to the Stronghold Omnibus Incentive Plan, effective January 18, 2023, and as further amended by the Second Amendment to the Stronghold Omnibus Incentive Plan, effective June 18, 2024 (the “</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effective as of the Effective Time; and</w:t>
      </w:r>
    </w:p>
    <w:p>
      <w:pPr>
        <w:spacing w:after="0" w:line="176"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9(p) of the Assumed Plan generally provides that the Board may amend the Assumed Plan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therein.</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Company hereby amends the Assumed Plan as follows in this Third Amendment to the Stronghold Omnibus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which Amendment shall become effective only upon the occurrence of the Effective Time and shall be null and void in the event that the Merger is not consummated:</w:t>
      </w:r>
    </w:p>
    <w:p>
      <w:pPr>
        <w:spacing w:after="0" w:line="17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is hereby deleted in its entirety and replaced as follows:</w:t>
      </w:r>
    </w:p>
    <w:p>
      <w:pPr>
        <w:spacing w:after="0" w:line="221"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Stronghold Digital Mining, Inc. Omnibus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provide a means through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attract, retain and motivate qualified persons as employees, directors and consultants, thereby enhancing the profitable growth of the Company and the Affiliates and (b) persons upon whom the responsibilities of the successful administration and management of the Company and the Affiliates rest, and whose present and potential contributions to the Company and the Affiliates are of importance, can acquire and maintain stock ownership or awards the value of which is tied to the performance of the Company, thereby strengthening their concern for the Company and the Affiliates. Accordingly, the Plan provides for the grant of Options, SARs, Restricted Stock, Restricted Stock Units, Stock Awards, Dividend Equivalents, Other Stock-Based Awards, Cash Awards, Substitute Awards, or any combination of the foregoing, as determined by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ind w:left="324"/>
        <w:spacing w:after="0" w:line="253" w:lineRule="auto"/>
        <w:rPr>
          <w:sz w:val="20"/>
          <w:szCs w:val="20"/>
          <w:color w:val="auto"/>
        </w:rPr>
      </w:pPr>
      <w:r>
        <w:rPr>
          <w:rFonts w:ascii="Times New Roman" w:cs="Times New Roman" w:eastAsia="Times New Roman" w:hAnsi="Times New Roman"/>
          <w:sz w:val="18"/>
          <w:szCs w:val="18"/>
          <w:color w:val="auto"/>
        </w:rPr>
        <w:t>Bitfarms Ltd., a corporation organized under the Business Corporations Act (Ontario) (“</w:t>
      </w:r>
      <w:r>
        <w:rPr>
          <w:rFonts w:ascii="Times New Roman" w:cs="Times New Roman" w:eastAsia="Times New Roman" w:hAnsi="Times New Roman"/>
          <w:sz w:val="18"/>
          <w:szCs w:val="18"/>
          <w:b w:val="1"/>
          <w:bCs w:val="1"/>
          <w:i w:val="1"/>
          <w:iCs w:val="1"/>
          <w:color w:val="auto"/>
        </w:rPr>
        <w:t>Bitfarms</w:t>
      </w:r>
      <w:r>
        <w:rPr>
          <w:rFonts w:ascii="Times New Roman" w:cs="Times New Roman" w:eastAsia="Times New Roman" w:hAnsi="Times New Roman"/>
          <w:sz w:val="18"/>
          <w:szCs w:val="18"/>
          <w:color w:val="auto"/>
        </w:rPr>
        <w:t>”), assumed the Plan effective as of Effective Time (as defined in the Merger Agreement), in connection with the closing of the transactions contemplated by that certain Agreement and Plan of Merger, dated August 21, 2024, as amended by Amendment No. 1 on September 12, 2024 (together with all schedules and exhibits,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The Merger Agreement was entered into by Bitfarms, Backbone Mining Solutions LLC, a Delaware limited liability company and wholly owned, indirect subsidiary of Bitfarms (“</w:t>
      </w:r>
      <w:r>
        <w:rPr>
          <w:rFonts w:ascii="Times New Roman" w:cs="Times New Roman" w:eastAsia="Times New Roman" w:hAnsi="Times New Roman"/>
          <w:sz w:val="18"/>
          <w:szCs w:val="18"/>
          <w:b w:val="1"/>
          <w:bCs w:val="1"/>
          <w:i w:val="1"/>
          <w:iCs w:val="1"/>
          <w:color w:val="auto"/>
        </w:rPr>
        <w:t>BMS</w:t>
      </w:r>
      <w:r>
        <w:rPr>
          <w:rFonts w:ascii="Times New Roman" w:cs="Times New Roman" w:eastAsia="Times New Roman" w:hAnsi="Times New Roman"/>
          <w:sz w:val="18"/>
          <w:szCs w:val="18"/>
          <w:color w:val="auto"/>
        </w:rPr>
        <w:t>”), HPC &amp; AI Megacorp, Inc., a Delaware corporation and wholly owned, direct subsidiary of BMS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Stronghold Digital Mining, Inc., a Delaware corporation (“</w:t>
      </w:r>
      <w:r>
        <w:rPr>
          <w:rFonts w:ascii="Times New Roman" w:cs="Times New Roman" w:eastAsia="Times New Roman" w:hAnsi="Times New Roman"/>
          <w:sz w:val="18"/>
          <w:szCs w:val="18"/>
          <w:b w:val="1"/>
          <w:bCs w:val="1"/>
          <w:i w:val="1"/>
          <w:iCs w:val="1"/>
          <w:color w:val="auto"/>
        </w:rPr>
        <w:t>Stronghold</w:t>
      </w:r>
      <w:r>
        <w:rPr>
          <w:rFonts w:ascii="Times New Roman" w:cs="Times New Roman" w:eastAsia="Times New Roman" w:hAnsi="Times New Roman"/>
          <w:sz w:val="18"/>
          <w:szCs w:val="18"/>
          <w:color w:val="auto"/>
        </w:rPr>
        <w:t>”). Pursuant to the terms of the Merger Agreement, on March 14, 2025, Bitfarms acquired all issued and outstanding equity of Stronghold through a merger in which Merger Sub merged with and into Stronghold pursuant to the General Corporation Law of the State of Delaware, with Stronghold surviving the merger as a wholly owned, indirect subsidiary of Bitfarms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Pursuant to the terms of the Merger Agreement, immediately prior to the Effective Time, and without any further action by the parties involved, each eligible share of Stronghold’s Class A common stock (“</w:t>
      </w:r>
      <w:r>
        <w:rPr>
          <w:rFonts w:ascii="Times New Roman" w:cs="Times New Roman" w:eastAsia="Times New Roman" w:hAnsi="Times New Roman"/>
          <w:sz w:val="18"/>
          <w:szCs w:val="18"/>
          <w:b w:val="1"/>
          <w:bCs w:val="1"/>
          <w:i w:val="1"/>
          <w:iCs w:val="1"/>
          <w:color w:val="auto"/>
        </w:rPr>
        <w:t>Stronghold Shares</w:t>
      </w:r>
      <w:r>
        <w:rPr>
          <w:rFonts w:ascii="Times New Roman" w:cs="Times New Roman" w:eastAsia="Times New Roman" w:hAnsi="Times New Roman"/>
          <w:sz w:val="18"/>
          <w:szCs w:val="18"/>
          <w:color w:val="auto"/>
        </w:rPr>
        <w:t>”) was converted into the right to receive 2.52 fully paid and nonassessable common shares of Bitfarms, after which all Stronghold Shares will be automatically canceled and cease to exist.</w:t>
      </w:r>
    </w:p>
    <w:p>
      <w:pPr>
        <w:spacing w:after="0" w:line="194" w:lineRule="exact"/>
        <w:rPr>
          <w:sz w:val="20"/>
          <w:szCs w:val="20"/>
          <w:color w:val="auto"/>
        </w:rPr>
      </w:pPr>
    </w:p>
    <w:p>
      <w:pPr>
        <w:ind w:left="324" w:hanging="324"/>
        <w:spacing w:after="0"/>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is hereby amended to include the following definition:</w:t>
      </w:r>
    </w:p>
    <w:p>
      <w:pPr>
        <w:spacing w:after="0" w:line="221" w:lineRule="exact"/>
        <w:rPr>
          <w:rFonts w:ascii="Times New Roman" w:cs="Times New Roman" w:eastAsia="Times New Roman" w:hAnsi="Times New Roman"/>
          <w:sz w:val="18"/>
          <w:szCs w:val="18"/>
          <w:color w:val="auto"/>
        </w:rPr>
      </w:pPr>
    </w:p>
    <w:p>
      <w:pPr>
        <w:ind w:left="324" w:right="2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prior to the Effective Time, Stronghold Digital Mining, Inc., a Delaware corporation, and, at or following the Effective Time, Bitfarms Ltd., a corporation organized under the Business Corporations Act (Ontario).</w:t>
      </w:r>
    </w:p>
    <w:p>
      <w:pPr>
        <w:spacing w:after="0" w:line="158" w:lineRule="exact"/>
        <w:rPr>
          <w:rFonts w:ascii="Times New Roman" w:cs="Times New Roman" w:eastAsia="Times New Roman" w:hAnsi="Times New Roman"/>
          <w:sz w:val="18"/>
          <w:szCs w:val="18"/>
          <w:color w:val="auto"/>
        </w:rPr>
      </w:pPr>
    </w:p>
    <w:p>
      <w:pPr>
        <w:ind w:left="324" w:right="600" w:hanging="324"/>
        <w:spacing w:after="0" w:line="282" w:lineRule="auto"/>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Eligible Person in 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is hereby amended to include the following as the third sentence of such definition:</w:t>
      </w:r>
    </w:p>
    <w:p>
      <w:pPr>
        <w:spacing w:after="0" w:line="161" w:lineRule="exact"/>
        <w:rPr>
          <w:rFonts w:ascii="Times New Roman" w:cs="Times New Roman" w:eastAsia="Times New Roman" w:hAnsi="Times New Roman"/>
          <w:sz w:val="18"/>
          <w:szCs w:val="18"/>
          <w:color w:val="auto"/>
        </w:rPr>
      </w:pPr>
    </w:p>
    <w:p>
      <w:pPr>
        <w:ind w:left="324"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“Eligible Person” shall not include any officer, director, employee or other person who provides services to Bitfarms Ltd. or its Subsidiaries who was employed, retained by or provided services to Bitfarms Ltd. or its Subsidiaries immediately prior to the Effective Time.</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Stock in 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is hereby amended and restated as follows:</w:t>
      </w:r>
    </w:p>
    <w:p>
      <w:pPr>
        <w:spacing w:after="0" w:line="221" w:lineRule="exact"/>
        <w:rPr>
          <w:rFonts w:ascii="Times New Roman" w:cs="Times New Roman" w:eastAsia="Times New Roman" w:hAnsi="Times New Roman"/>
          <w:sz w:val="18"/>
          <w:szCs w:val="18"/>
          <w:color w:val="auto"/>
        </w:rPr>
      </w:pPr>
    </w:p>
    <w:p>
      <w:pPr>
        <w:ind w:left="324" w:right="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means the common shares of the Company, no par value, and such other securities as may be substituted (or re-substituted) for Stock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Plan shall remain in full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445770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0"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JULY 24,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 INTERPRETATION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and Gender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References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Calculation of Number and Percentage of Beneficial Ownership of Outstanding Voting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Acting Jointly or in Concert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2 THE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Legend on Share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Exercise Price; Exercise of Rights; Detachment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Exercise Price; Number of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Date on Which Exercise Is Effective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Authentication, Delivery and Dating of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Mutilated, Destroyed, Lost and Stolen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Persons Deemed Owners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Delivery and Cancellation of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 of Rights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Certificate Holder Not Deemed a Shareholder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3 ADJUSTMENTS TO THE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Flip-in Event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4 THE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Amalgamation or Consolidation or Change of Name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Duties of Rights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Anti-Money Laundering Legislation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Privacy Legislation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5 MISCELLANEOUS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and Waiver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New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Fractional Rights and Fractional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of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Approvals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Proposed Actions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of Board and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of Enforcement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Successors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of this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Language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Reconfirmation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Determinations and Actions by the Board of Directors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Declaration as to Non-Canadian Holders and Non-U.S.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of the Essence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ATTACHMENT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OF ASSIGNMENT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OF ELECTION TO EXERCISE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CERTIFICATE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NOTICE</w:t>
            </w:r>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r>
      <w:tr>
        <w:trPr>
          <w:trHeight w:val="655"/>
        </w:trPr>
        <w:tc>
          <w:tcPr>
            <w:tcW w:w="9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RIGHTS PLAN AGREEMENT</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THIS SHAREHOLDER RIGHTS PLAN AGREEMENT is made as of July 24, 2024 between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continued under the laws of the Province of Ontario, and TSX Trust Company, a trust company existing under the laws of Canada and registered to carry on business in all provinces and territories of Canada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WHEREAS the Board of Directors, in the exercise of its fiduciary duties to the Corporation, has determined that it is in the best interests of the Corporation to adopt a shareholder protection rights plan (the “</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to prevent, to the extent possible, a creeping takeover of the Corporation and to ensure, to the extent possible, the fair treatment of all shareholders in connection with any take-over bid for the securities of the Corporation, and to ensure that the Board of Directors is provided with sufficient time to evaluate unsolicited take-over bids and to explore and develop alternatives to maximize shareholder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WHEREAS in order to implement the Rights Plan as established by this Agreement (as hereinafter defined), the Board of Directors has:</w:t>
      </w:r>
    </w:p>
    <w:p>
      <w:pPr>
        <w:spacing w:after="0" w:line="221" w:lineRule="exact"/>
        <w:rPr>
          <w:sz w:val="20"/>
          <w:szCs w:val="20"/>
          <w:color w:val="auto"/>
        </w:rPr>
      </w:pPr>
    </w:p>
    <w:p>
      <w:pPr>
        <w:ind w:left="660" w:right="360" w:hanging="652"/>
        <w:spacing w:after="0" w:line="28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effective at the close of business (Toronto time) on August 6, 2024 (the “</w:t>
      </w:r>
      <w:r>
        <w:rPr>
          <w:rFonts w:ascii="Times New Roman" w:cs="Times New Roman" w:eastAsia="Times New Roman" w:hAnsi="Times New Roman"/>
          <w:sz w:val="18"/>
          <w:szCs w:val="18"/>
          <w:b w:val="1"/>
          <w:bCs w:val="1"/>
          <w:color w:val="auto"/>
        </w:rPr>
        <w:t>Record Time</w:t>
      </w:r>
      <w:r>
        <w:rPr>
          <w:rFonts w:ascii="Times New Roman" w:cs="Times New Roman" w:eastAsia="Times New Roman" w:hAnsi="Times New Roman"/>
          <w:sz w:val="18"/>
          <w:szCs w:val="18"/>
          <w:color w:val="auto"/>
        </w:rPr>
        <w:t>”), of one Right (as hereinafter defined) in respect of each Common Share (as hereinafter defined) outstanding at the Record Time;</w:t>
      </w:r>
    </w:p>
    <w:p>
      <w:pPr>
        <w:spacing w:after="0" w:line="15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of one Right in respect of each Voting Share of the Corporation issued after the Record Time and prior to the earlier of the Separation Time (as hereinafter defined) and the Expiration Time (as hereinafter defined); and</w:t>
      </w:r>
    </w:p>
    <w:p>
      <w:pPr>
        <w:spacing w:after="0" w:line="161"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of Rights Certificates (as hereinafter defined) to holders of Rights pursuant to the terms and subject to the conditions set forth herein;</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WHEREAS each Right entitles the holder thereof, after the Separation Time, to purchase securities of the Corporation pursuant to the terms and subject to the conditions set forth herein;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WHEREAS the Corporation desires to appoint the Rights Agent to act on behalf of the Corporation and the holders of Rights, and the Rights Agent is willing to so act, in connection with the issuance, transfer, exchange and replacement of Rights Certificates, the exercise of Rights and other matters referred to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WHEREAS the foregoing recitals are made as representations and statements of fact by the Corporation and not by the Rights Agent.</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respective covenants and agreements set forth herein, and subject to such covenants and agreements, the parties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221" w:lineRule="exact"/>
        <w:rPr>
          <w:sz w:val="20"/>
          <w:szCs w:val="20"/>
          <w:color w:val="auto"/>
        </w:rPr>
      </w:pPr>
    </w:p>
    <w:p>
      <w:pPr>
        <w:ind w:left="1300" w:right="320" w:hanging="644"/>
        <w:spacing w:after="0" w:line="28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mean any Person who is the Beneficial Owner of 20% or more of the outstanding Voting Shares; provided, however, that the term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not include:</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Subsidiary of the Corporation;</w:t>
      </w:r>
    </w:p>
    <w:p>
      <w:pPr>
        <w:spacing w:after="0" w:line="225" w:lineRule="exact"/>
        <w:rPr>
          <w:rFonts w:ascii="Times New Roman" w:cs="Times New Roman" w:eastAsia="Times New Roman" w:hAnsi="Times New Roman"/>
          <w:sz w:val="18"/>
          <w:szCs w:val="18"/>
          <w:color w:val="auto"/>
        </w:rPr>
      </w:pPr>
    </w:p>
    <w:p>
      <w:pPr>
        <w:ind w:left="1960" w:right="540" w:hanging="656"/>
        <w:spacing w:after="0" w:line="282"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becomes the Beneficial Owner of 20% or more of the outstanding Voting Shares as a result of one or any combination of:</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Share Reduction;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Bid Acquisition;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Acquisition;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Acquisition;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Convertible Security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ind w:left="1304"/>
        <w:spacing w:after="0" w:line="256" w:lineRule="auto"/>
        <w:rPr>
          <w:sz w:val="20"/>
          <w:szCs w:val="20"/>
          <w:color w:val="auto"/>
        </w:rPr>
      </w:pPr>
      <w:r>
        <w:rPr>
          <w:rFonts w:ascii="Times New Roman" w:cs="Times New Roman" w:eastAsia="Times New Roman" w:hAnsi="Times New Roman"/>
          <w:sz w:val="18"/>
          <w:szCs w:val="18"/>
          <w:color w:val="auto"/>
        </w:rPr>
        <w:t>provided, however, that if a Person becomes the Beneficial Owner of 20% or more of the outstanding Voting Shares by reason of one or any combination of the operation of Paragraphs (A), (B), (C), (D) or (E) above and such Person’s Beneficial Ownership of Voting Shares thereafter increases by more than 1% of the number of Voting Shares outstanding (other than pursuant to one of a Voting Share Reduction, a Permitted Bid Acquisition, an Exempt Acquisition, a Pro Rata Acquisition or a Convertible Security Acquisition or any combination thereof), then as of the date such Person becomes the Beneficial Owner of such additional Voting Shares, such Person shall become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4" w:right="100" w:hanging="656"/>
        <w:spacing w:after="0" w:line="258" w:lineRule="auto"/>
        <w:tabs>
          <w:tab w:leader="none" w:pos="13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ten days after the Disqualification Date, any Person who becomes the Beneficial Owner of 20% or more of the outstanding Voting Shares as a result of such Person becoming disqualified from relying on Subsection 1.1(f)(B) solely because such Person is making or has announced a current intention to make a Take-over Bid, either alone or by acting jointly or in concert with any other Person. For the purposes of this definition, “</w:t>
      </w:r>
      <w:r>
        <w:rPr>
          <w:rFonts w:ascii="Times New Roman" w:cs="Times New Roman" w:eastAsia="Times New Roman" w:hAnsi="Times New Roman"/>
          <w:sz w:val="18"/>
          <w:szCs w:val="18"/>
          <w:b w:val="1"/>
          <w:bCs w:val="1"/>
          <w:color w:val="auto"/>
        </w:rPr>
        <w:t>Disqualification Date</w:t>
      </w:r>
      <w:r>
        <w:rPr>
          <w:rFonts w:ascii="Times New Roman" w:cs="Times New Roman" w:eastAsia="Times New Roman" w:hAnsi="Times New Roman"/>
          <w:sz w:val="18"/>
          <w:szCs w:val="18"/>
          <w:color w:val="auto"/>
        </w:rPr>
        <w:t>” means the first date of public announcement that any Person is making or intends to make a Take-over Bid;</w:t>
      </w:r>
    </w:p>
    <w:p>
      <w:pPr>
        <w:spacing w:after="0" w:line="183" w:lineRule="exact"/>
        <w:rPr>
          <w:rFonts w:ascii="Times New Roman" w:cs="Times New Roman" w:eastAsia="Times New Roman" w:hAnsi="Times New Roman"/>
          <w:sz w:val="18"/>
          <w:szCs w:val="18"/>
          <w:color w:val="auto"/>
        </w:rPr>
      </w:pPr>
    </w:p>
    <w:p>
      <w:pPr>
        <w:jc w:val="both"/>
        <w:ind w:left="1304" w:right="20" w:hanging="656"/>
        <w:spacing w:after="0" w:line="312" w:lineRule="auto"/>
        <w:tabs>
          <w:tab w:leader="none" w:pos="130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underwriter or member of a banking or selling group that becomes the Beneficial Owner of 20% or more of the Voting Shares in connection with a distribution of securities of the Corporation pursuant to an underwriting agreement with the Corporation; or</w:t>
      </w:r>
    </w:p>
    <w:p>
      <w:pPr>
        <w:spacing w:after="0" w:line="135" w:lineRule="exact"/>
        <w:rPr>
          <w:rFonts w:ascii="Times New Roman" w:cs="Times New Roman" w:eastAsia="Times New Roman" w:hAnsi="Times New Roman"/>
          <w:sz w:val="17"/>
          <w:szCs w:val="17"/>
          <w:color w:val="auto"/>
        </w:rPr>
      </w:pPr>
    </w:p>
    <w:p>
      <w:pPr>
        <w:ind w:left="1304" w:right="120" w:hanging="656"/>
        <w:spacing w:after="0" w:line="255" w:lineRule="auto"/>
        <w:tabs>
          <w:tab w:leader="none" w:pos="13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 “</w:t>
      </w:r>
      <w:r>
        <w:rPr>
          <w:rFonts w:ascii="Times New Roman" w:cs="Times New Roman" w:eastAsia="Times New Roman" w:hAnsi="Times New Roman"/>
          <w:sz w:val="18"/>
          <w:szCs w:val="18"/>
          <w:b w:val="1"/>
          <w:bCs w:val="1"/>
          <w:color w:val="auto"/>
        </w:rPr>
        <w:t>Grandfathered Person</w:t>
      </w:r>
      <w:r>
        <w:rPr>
          <w:rFonts w:ascii="Times New Roman" w:cs="Times New Roman" w:eastAsia="Times New Roman" w:hAnsi="Times New Roman"/>
          <w:sz w:val="18"/>
          <w:szCs w:val="18"/>
          <w:color w:val="auto"/>
        </w:rPr>
        <w:t>”) who is the Beneficial Owner of 20% or more of the outstanding Voting Shares determined as at the Effective Date, provided, however, that this exception shall not be, and shall cease to be, applicable to a Grandfathered Person in the event that such Grandfathered Person shall, after the Effective Date, become the Beneficial Owner of any additional Voting Shares that increases its Beneficial Ownership of Voting Shares by more than 1% of the number of Voting Shares outstanding, other than through one of a Permitted Bid Acquisition, an Exempt Acquisition, a Voting Share Reduction, a Pro Rata Acquisition or a Convertible Security Acquisition or any combination thereof; and provided, further, that a Person shall cease to be a Grandfathered Person in the event that such Person ceases to Beneficially Own 20% or more of the then outstanding Voting Shares at any time after the Effective Date;</w:t>
      </w:r>
    </w:p>
    <w:p>
      <w:pPr>
        <w:spacing w:after="0" w:line="184" w:lineRule="exact"/>
        <w:rPr>
          <w:rFonts w:ascii="Times New Roman" w:cs="Times New Roman" w:eastAsia="Times New Roman" w:hAnsi="Times New Roman"/>
          <w:sz w:val="18"/>
          <w:szCs w:val="18"/>
          <w:color w:val="auto"/>
        </w:rPr>
      </w:pPr>
    </w:p>
    <w:p>
      <w:pPr>
        <w:ind w:left="644" w:right="260"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when used to indicate a relationship with a specified Person, shall mean a Person that directly, or indirectly through one or more intermediaries, controls, or is controlled by, or is under common control with, such specified Person;</w:t>
      </w:r>
    </w:p>
    <w:p>
      <w:pPr>
        <w:spacing w:after="0" w:line="154" w:lineRule="exact"/>
        <w:rPr>
          <w:rFonts w:ascii="Times New Roman" w:cs="Times New Roman" w:eastAsia="Times New Roman" w:hAnsi="Times New Roman"/>
          <w:sz w:val="18"/>
          <w:szCs w:val="18"/>
          <w:color w:val="auto"/>
        </w:rPr>
      </w:pPr>
    </w:p>
    <w:p>
      <w:pPr>
        <w:jc w:val="both"/>
        <w:ind w:left="644" w:right="40" w:hanging="644"/>
        <w:spacing w:after="0" w:line="268"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shareholder rights plan agreement dated as of July 24, 2024 between the Corporation and the Rights Agent, as amended or supplemented from time to time; “hereof”, “herein”, “hereto” and similar expressions mean and refer to this Agreement as a whole and not to any particular part of this Agreement;</w:t>
      </w:r>
    </w:p>
    <w:p>
      <w:pPr>
        <w:spacing w:after="0" w:line="170" w:lineRule="exact"/>
        <w:rPr>
          <w:rFonts w:ascii="Times New Roman" w:cs="Times New Roman" w:eastAsia="Times New Roman" w:hAnsi="Times New Roman"/>
          <w:sz w:val="18"/>
          <w:szCs w:val="18"/>
          <w:color w:val="auto"/>
        </w:rPr>
      </w:pPr>
    </w:p>
    <w:p>
      <w:pPr>
        <w:ind w:left="644" w:right="260" w:hanging="644"/>
        <w:spacing w:after="0" w:line="28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cash dividend</w:t>
      </w:r>
      <w:r>
        <w:rPr>
          <w:rFonts w:ascii="Times New Roman" w:cs="Times New Roman" w:eastAsia="Times New Roman" w:hAnsi="Times New Roman"/>
          <w:sz w:val="18"/>
          <w:szCs w:val="18"/>
          <w:color w:val="auto"/>
        </w:rPr>
        <w:t>” shall mean cash dividends paid in any fiscal year of the Corporation to the extent that such cash dividends do not exceed, in the aggregate on a per share basis, in any fiscal year, the greater of:</w:t>
      </w:r>
    </w:p>
    <w:p>
      <w:pPr>
        <w:spacing w:after="0" w:line="158" w:lineRule="exact"/>
        <w:rPr>
          <w:rFonts w:ascii="Times New Roman" w:cs="Times New Roman" w:eastAsia="Times New Roman" w:hAnsi="Times New Roman"/>
          <w:sz w:val="18"/>
          <w:szCs w:val="18"/>
          <w:color w:val="auto"/>
        </w:rPr>
      </w:pPr>
    </w:p>
    <w:p>
      <w:pPr>
        <w:ind w:left="1304" w:right="420" w:hanging="656"/>
        <w:spacing w:after="0" w:line="282" w:lineRule="auto"/>
        <w:tabs>
          <w:tab w:leader="none" w:pos="13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aggregate amount of cash dividends, on a per share basis, declared payable by the Corporation on its Common Shares in its immediately preceding fiscal year;</w:t>
      </w:r>
    </w:p>
    <w:p>
      <w:pPr>
        <w:spacing w:after="0" w:line="161" w:lineRule="exact"/>
        <w:rPr>
          <w:rFonts w:ascii="Times New Roman" w:cs="Times New Roman" w:eastAsia="Times New Roman" w:hAnsi="Times New Roman"/>
          <w:sz w:val="18"/>
          <w:szCs w:val="18"/>
          <w:color w:val="auto"/>
        </w:rPr>
      </w:pPr>
    </w:p>
    <w:p>
      <w:pPr>
        <w:ind w:left="1304" w:right="480" w:hanging="656"/>
        <w:spacing w:after="0" w:line="282" w:lineRule="auto"/>
        <w:tabs>
          <w:tab w:leader="none" w:pos="13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of the arithmetic mean of the aggregate amounts of the cash dividends, on a per share basis, declared payable by the Corporation on its Common Shares in its three immediately preceding fiscal years; and</w:t>
      </w:r>
    </w:p>
    <w:p>
      <w:pPr>
        <w:spacing w:after="0" w:line="161" w:lineRule="exact"/>
        <w:rPr>
          <w:rFonts w:ascii="Times New Roman" w:cs="Times New Roman" w:eastAsia="Times New Roman" w:hAnsi="Times New Roman"/>
          <w:sz w:val="18"/>
          <w:szCs w:val="18"/>
          <w:color w:val="auto"/>
        </w:rPr>
      </w:pPr>
    </w:p>
    <w:p>
      <w:pPr>
        <w:ind w:left="1304" w:right="280" w:hanging="656"/>
        <w:spacing w:after="0" w:line="282" w:lineRule="auto"/>
        <w:tabs>
          <w:tab w:leader="none" w:pos="13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consolidated net income of the Corporation, before extraordinary items, for its immediately preceding fiscal year divided by the number of Common Shares outstanding as at the end of such fiscal year;</w:t>
      </w:r>
    </w:p>
    <w:p>
      <w:pPr>
        <w:spacing w:after="0" w:line="157" w:lineRule="exact"/>
        <w:rPr>
          <w:rFonts w:ascii="Times New Roman" w:cs="Times New Roman" w:eastAsia="Times New Roman" w:hAnsi="Times New Roman"/>
          <w:sz w:val="18"/>
          <w:szCs w:val="18"/>
          <w:color w:val="auto"/>
        </w:rPr>
      </w:pPr>
    </w:p>
    <w:p>
      <w:pPr>
        <w:ind w:left="644" w:right="140" w:hanging="644"/>
        <w:spacing w:after="0" w:line="268"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shall mean, when used to indicate a relationship with a specified Person, a spouse of that Person, any Person of the same or opposite sex with whom that Person is living in a conjugal relationship outside marriage, a child of that Person and a relative of that Person if that relative has the same residence as that Person;</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and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as to which such Person or any of such Person’s Affiliates or Associates is the owner at law or in equity;</w:t>
      </w:r>
    </w:p>
    <w:p>
      <w:pPr>
        <w:spacing w:after="0" w:line="225" w:lineRule="exact"/>
        <w:rPr>
          <w:rFonts w:ascii="Times New Roman" w:cs="Times New Roman" w:eastAsia="Times New Roman" w:hAnsi="Times New Roman"/>
          <w:sz w:val="18"/>
          <w:szCs w:val="18"/>
          <w:color w:val="auto"/>
        </w:rPr>
      </w:pPr>
    </w:p>
    <w:p>
      <w:pPr>
        <w:ind w:left="1304" w:right="20" w:hanging="656"/>
        <w:spacing w:after="0" w:line="268" w:lineRule="auto"/>
        <w:tabs>
          <w:tab w:leader="none" w:pos="130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as to which such Person or any of such Person’s Affiliates or Associates has the right to become the owner at law or in equity (where such right is exercisable within a period of 60 days, whether or not on condition or on the happening of any contingency) pursuant to any agreement, arrangement, pledge or understanding, whether or not in writing, or upon the exercise of any conversion, exchange or purchase right (other than the Rights) attaching to a Convertible Security, including but not limited to any lock-up agreement or similar agreement, arrangement or understanding that is not a Permitted Lock-Up Agreement; other than pursuant to (x) customary agreements between the Corporation and underwriters or between underwriters and/or banking group members and/or selling group members with respect to a distribution of securities by the Corporation, and</w:t>
      </w:r>
    </w:p>
    <w:p>
      <w:pPr>
        <w:spacing w:after="0" w:line="2" w:lineRule="exact"/>
        <w:rPr>
          <w:rFonts w:ascii="Times New Roman" w:cs="Times New Roman" w:eastAsia="Times New Roman" w:hAnsi="Times New Roman"/>
          <w:sz w:val="17"/>
          <w:szCs w:val="17"/>
          <w:color w:val="auto"/>
        </w:rPr>
      </w:pPr>
    </w:p>
    <w:p>
      <w:pPr>
        <w:ind w:left="130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pledges of securities in the ordinary course of business; and</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83" w:name="page84"/>
    <w:bookmarkEnd w:id="83"/>
    <w:p>
      <w:pPr>
        <w:ind w:left="840" w:right="120" w:hanging="656"/>
        <w:spacing w:after="0" w:line="282"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which are Beneficially Owned within the meaning of Subsections 1.1(f)(i) or (ii) by any other Person with which such Person is acting jointly or in concert;</w:t>
      </w:r>
    </w:p>
    <w:p>
      <w:pPr>
        <w:spacing w:after="0" w:line="158" w:lineRule="exact"/>
        <w:rPr>
          <w:sz w:val="20"/>
          <w:szCs w:val="20"/>
          <w:color w:val="auto"/>
        </w:rPr>
      </w:pPr>
    </w:p>
    <w:p>
      <w:pPr>
        <w:ind w:left="180" w:right="800"/>
        <w:spacing w:after="0" w:line="286" w:lineRule="auto"/>
        <w:rPr>
          <w:sz w:val="20"/>
          <w:szCs w:val="20"/>
          <w:color w:val="auto"/>
        </w:rPr>
      </w:pPr>
      <w:r>
        <w:rPr>
          <w:rFonts w:ascii="Times New Roman" w:cs="Times New Roman" w:eastAsia="Times New Roman" w:hAnsi="Times New Roman"/>
          <w:sz w:val="18"/>
          <w:szCs w:val="18"/>
          <w:color w:val="auto"/>
        </w:rPr>
        <w:t>provided, however, that a Person shall not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or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or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any security:</w:t>
      </w:r>
    </w:p>
    <w:p>
      <w:pPr>
        <w:spacing w:after="0" w:line="159" w:lineRule="exact"/>
        <w:rPr>
          <w:sz w:val="20"/>
          <w:szCs w:val="20"/>
          <w:color w:val="auto"/>
        </w:rPr>
      </w:pPr>
    </w:p>
    <w:p>
      <w:pPr>
        <w:ind w:left="1480" w:right="80" w:hanging="648"/>
        <w:spacing w:after="0" w:line="258" w:lineRule="auto"/>
        <w:tabs>
          <w:tab w:leader="none" w:pos="1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security has been deposited or tendered pursuant to any Take-over Bid or where the holder of such security has agreed pursuant to a Permitted Lock-Up Agreement to deposit or tender such security pursuant to a Take-over Bid, in each case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183" w:lineRule="exact"/>
        <w:rPr>
          <w:rFonts w:ascii="Times New Roman" w:cs="Times New Roman" w:eastAsia="Times New Roman" w:hAnsi="Times New Roman"/>
          <w:sz w:val="18"/>
          <w:szCs w:val="18"/>
          <w:color w:val="auto"/>
        </w:rPr>
      </w:pPr>
    </w:p>
    <w:p>
      <w:pPr>
        <w:ind w:left="1480" w:right="260" w:hanging="648"/>
        <w:spacing w:after="0" w:line="282" w:lineRule="auto"/>
        <w:tabs>
          <w:tab w:leader="none" w:pos="1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Person, any of such Person’s Affiliates or Associates or any other Person referred to in Subsection 1.1(f) (iii), holds such security provided that:</w:t>
      </w:r>
    </w:p>
    <w:p>
      <w:pPr>
        <w:spacing w:after="0" w:line="157" w:lineRule="exact"/>
        <w:rPr>
          <w:rFonts w:ascii="Times New Roman" w:cs="Times New Roman" w:eastAsia="Times New Roman" w:hAnsi="Times New Roman"/>
          <w:sz w:val="18"/>
          <w:szCs w:val="18"/>
          <w:color w:val="auto"/>
        </w:rPr>
      </w:pPr>
    </w:p>
    <w:p>
      <w:pPr>
        <w:ind w:left="2120" w:right="80" w:hanging="640"/>
        <w:spacing w:after="0" w:line="256" w:lineRule="auto"/>
        <w:tabs>
          <w:tab w:leader="none" w:pos="21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business of any such Person (the “</w:t>
      </w:r>
      <w:r>
        <w:rPr>
          <w:rFonts w:ascii="Times New Roman" w:cs="Times New Roman" w:eastAsia="Times New Roman" w:hAnsi="Times New Roman"/>
          <w:sz w:val="18"/>
          <w:szCs w:val="18"/>
          <w:b w:val="1"/>
          <w:bCs w:val="1"/>
          <w:color w:val="auto"/>
        </w:rPr>
        <w:t>Investment Manager</w:t>
      </w:r>
      <w:r>
        <w:rPr>
          <w:rFonts w:ascii="Times New Roman" w:cs="Times New Roman" w:eastAsia="Times New Roman" w:hAnsi="Times New Roman"/>
          <w:sz w:val="18"/>
          <w:szCs w:val="18"/>
          <w:color w:val="auto"/>
        </w:rPr>
        <w:t>”) includes the management of mutual funds or investment funds for others (which others, for greater certainty, may include or be limited to one or more employee benefit plans or pension plans and/or includes the acquisition or holding of securities for a non-discretionary account of a Client by a dealer or broker registered under applicable securities laws to the extent required) and such security is held by the Investment Manager in the ordinary course of such business and in the performance of such Investment Manager’s duties for the account of any other Person or Persons (a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120" w:right="120" w:hanging="640"/>
        <w:spacing w:after="0" w:line="259" w:lineRule="auto"/>
        <w:tabs>
          <w:tab w:leader="none" w:pos="21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(the “</w:t>
      </w:r>
      <w:r>
        <w:rPr>
          <w:rFonts w:ascii="Times New Roman" w:cs="Times New Roman" w:eastAsia="Times New Roman" w:hAnsi="Times New Roman"/>
          <w:sz w:val="18"/>
          <w:szCs w:val="18"/>
          <w:b w:val="1"/>
          <w:bCs w:val="1"/>
          <w:color w:val="auto"/>
        </w:rPr>
        <w:t>Trust Company</w:t>
      </w:r>
      <w:r>
        <w:rPr>
          <w:rFonts w:ascii="Times New Roman" w:cs="Times New Roman" w:eastAsia="Times New Roman" w:hAnsi="Times New Roman"/>
          <w:sz w:val="18"/>
          <w:szCs w:val="18"/>
          <w:color w:val="auto"/>
        </w:rPr>
        <w:t>”) is licensed to carry on the business of a trust company under applicable laws and, as such, acts as trustee or administrator or in a similar capacity in relation to the estates of deceased or incompetent Persons (each an “</w:t>
      </w:r>
      <w:r>
        <w:rPr>
          <w:rFonts w:ascii="Times New Roman" w:cs="Times New Roman" w:eastAsia="Times New Roman" w:hAnsi="Times New Roman"/>
          <w:sz w:val="18"/>
          <w:szCs w:val="18"/>
          <w:b w:val="1"/>
          <w:bCs w:val="1"/>
          <w:color w:val="auto"/>
        </w:rPr>
        <w:t>Estate Account</w:t>
      </w:r>
      <w:r>
        <w:rPr>
          <w:rFonts w:ascii="Times New Roman" w:cs="Times New Roman" w:eastAsia="Times New Roman" w:hAnsi="Times New Roman"/>
          <w:sz w:val="18"/>
          <w:szCs w:val="18"/>
          <w:color w:val="auto"/>
        </w:rPr>
        <w:t>”) or in relation to other accounts (each an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and holds such security in the ordinary course of such duties for such Estate Accounts or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Accounts;</w:t>
      </w:r>
    </w:p>
    <w:p>
      <w:pPr>
        <w:spacing w:after="0" w:line="183" w:lineRule="exact"/>
        <w:rPr>
          <w:rFonts w:ascii="Times New Roman" w:cs="Times New Roman" w:eastAsia="Times New Roman" w:hAnsi="Times New Roman"/>
          <w:sz w:val="18"/>
          <w:szCs w:val="18"/>
          <w:color w:val="auto"/>
        </w:rPr>
      </w:pPr>
    </w:p>
    <w:p>
      <w:pPr>
        <w:ind w:left="2120" w:right="120" w:hanging="640"/>
        <w:spacing w:after="0" w:line="261" w:lineRule="auto"/>
        <w:tabs>
          <w:tab w:leader="none" w:pos="21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 pension plan or fund registered under the laws of Canada or any province thereof or the laws of the United States of America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is a Person established by statute for purposes that include, and the ordinary business or activity of such Person (the “</w:t>
      </w:r>
      <w:r>
        <w:rPr>
          <w:rFonts w:ascii="Times New Roman" w:cs="Times New Roman" w:eastAsia="Times New Roman" w:hAnsi="Times New Roman"/>
          <w:sz w:val="18"/>
          <w:szCs w:val="18"/>
          <w:b w:val="1"/>
          <w:bCs w:val="1"/>
          <w:color w:val="auto"/>
        </w:rPr>
        <w:t>Statutory Body</w:t>
      </w:r>
      <w:r>
        <w:rPr>
          <w:rFonts w:ascii="Times New Roman" w:cs="Times New Roman" w:eastAsia="Times New Roman" w:hAnsi="Times New Roman"/>
          <w:sz w:val="18"/>
          <w:szCs w:val="18"/>
          <w:color w:val="auto"/>
        </w:rPr>
        <w:t>”) includes, the management of investment funds for employee benefit plans, pension plans, insurance plans of various public bodies; or</w:t>
      </w:r>
    </w:p>
    <w:p>
      <w:pPr>
        <w:spacing w:after="0" w:line="175" w:lineRule="exact"/>
        <w:rPr>
          <w:rFonts w:ascii="Times New Roman" w:cs="Times New Roman" w:eastAsia="Times New Roman" w:hAnsi="Times New Roman"/>
          <w:sz w:val="18"/>
          <w:szCs w:val="18"/>
          <w:color w:val="auto"/>
        </w:rPr>
      </w:pPr>
    </w:p>
    <w:p>
      <w:pPr>
        <w:ind w:left="2120" w:hanging="640"/>
        <w:spacing w:after="0" w:line="286" w:lineRule="auto"/>
        <w:tabs>
          <w:tab w:leader="none" w:pos="21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is the administrator or trustee of one or more Plans and holds such security for the purposes of its activities as an Administrator;</w:t>
      </w:r>
    </w:p>
    <w:p>
      <w:pPr>
        <w:spacing w:after="0" w:line="159" w:lineRule="exact"/>
        <w:rPr>
          <w:sz w:val="20"/>
          <w:szCs w:val="20"/>
          <w:color w:val="auto"/>
        </w:rPr>
      </w:pPr>
    </w:p>
    <w:p>
      <w:pPr>
        <w:ind w:left="1480" w:right="100"/>
        <w:spacing w:after="0" w:line="256" w:lineRule="auto"/>
        <w:rPr>
          <w:sz w:val="20"/>
          <w:szCs w:val="20"/>
          <w:color w:val="auto"/>
        </w:rPr>
      </w:pPr>
      <w:r>
        <w:rPr>
          <w:rFonts w:ascii="Times New Roman" w:cs="Times New Roman" w:eastAsia="Times New Roman" w:hAnsi="Times New Roman"/>
          <w:sz w:val="18"/>
          <w:szCs w:val="18"/>
          <w:color w:val="auto"/>
        </w:rPr>
        <w:t>provided, in any of the above cases, that the Investment Manager, the Trust Company, the Statutory Body, the Administrator or the Plan, as the case may be,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over-the-counter market), alone or by acting jointly or in concert with any other Person;</w:t>
      </w:r>
    </w:p>
    <w:p>
      <w:pPr>
        <w:spacing w:after="0" w:line="187" w:lineRule="exact"/>
        <w:rPr>
          <w:sz w:val="20"/>
          <w:szCs w:val="20"/>
          <w:color w:val="auto"/>
        </w:rPr>
      </w:pPr>
    </w:p>
    <w:p>
      <w:pPr>
        <w:ind w:left="1480" w:right="20" w:hanging="648"/>
        <w:spacing w:after="0" w:line="272" w:lineRule="auto"/>
        <w:tabs>
          <w:tab w:leader="none" w:pos="14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or any of such Person’s Affiliates or Associates is (1) a Client of the same Investment Manager as another Person on whose account the Investment Manager holds such security, (2) an Estate Account or an Other Account of the same Trust Company as another Person on whose account the Trust Company holds such security, or (3) a Plan with the same Administrator as another Plan on whose account the Administrator holds such security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4" w:name="page85"/>
    <w:bookmarkEnd w:id="84"/>
    <w:p>
      <w:pPr>
        <w:ind w:left="1944" w:hanging="648"/>
        <w:spacing w:after="0" w:line="254" w:lineRule="auto"/>
        <w:tabs>
          <w:tab w:leader="none" w:pos="194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because such Person is (1) a Client of an Investment Manager and such security is owned at law or in equity by the Investment Manager, (2) an Estate Account or an Other Account of a Trust Company and such security is owned at law or in equity by the Trust Company or (3) a Plan and such security is owned at law or in equity by the Administrator of the Plan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 or</w:t>
      </w:r>
    </w:p>
    <w:p>
      <w:pPr>
        <w:spacing w:after="0" w:line="191" w:lineRule="exact"/>
        <w:rPr>
          <w:rFonts w:ascii="Times New Roman" w:cs="Times New Roman" w:eastAsia="Times New Roman" w:hAnsi="Times New Roman"/>
          <w:sz w:val="18"/>
          <w:szCs w:val="18"/>
          <w:color w:val="auto"/>
        </w:rPr>
      </w:pPr>
    </w:p>
    <w:p>
      <w:pPr>
        <w:ind w:left="1944" w:right="60" w:hanging="648"/>
        <w:spacing w:after="0" w:line="256" w:lineRule="auto"/>
        <w:tabs>
          <w:tab w:leader="none" w:pos="194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person is the registered holder of securities as a result of carrying on the business of or acting as a nominee of a securities depository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Corporation or any duly constituted and empowered committee thereof;</w:t>
      </w:r>
    </w:p>
    <w:p>
      <w:pPr>
        <w:spacing w:after="0" w:line="225" w:lineRule="exact"/>
        <w:rPr>
          <w:rFonts w:ascii="Times New Roman" w:cs="Times New Roman" w:eastAsia="Times New Roman" w:hAnsi="Times New Roman"/>
          <w:sz w:val="18"/>
          <w:szCs w:val="18"/>
          <w:color w:val="auto"/>
        </w:rPr>
      </w:pPr>
    </w:p>
    <w:p>
      <w:pPr>
        <w:ind w:left="644" w:right="640" w:hanging="644"/>
        <w:spacing w:after="0" w:line="28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Toronto, Ontario are authorized or obligated by law to close;</w:t>
      </w:r>
    </w:p>
    <w:p>
      <w:pPr>
        <w:spacing w:after="0" w:line="154" w:lineRule="exact"/>
        <w:rPr>
          <w:rFonts w:ascii="Times New Roman" w:cs="Times New Roman" w:eastAsia="Times New Roman" w:hAnsi="Times New Roman"/>
          <w:sz w:val="18"/>
          <w:szCs w:val="18"/>
          <w:color w:val="auto"/>
        </w:rPr>
      </w:pPr>
    </w:p>
    <w:p>
      <w:pPr>
        <w:ind w:left="644" w:right="280" w:hanging="644"/>
        <w:spacing w:after="0" w:line="28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 Equivalent</w:t>
      </w:r>
      <w:r>
        <w:rPr>
          <w:rFonts w:ascii="Times New Roman" w:cs="Times New Roman" w:eastAsia="Times New Roman" w:hAnsi="Times New Roman"/>
          <w:sz w:val="18"/>
          <w:szCs w:val="18"/>
          <w:color w:val="auto"/>
        </w:rPr>
        <w:t>” of any amount which is expressed in United States dollars shall mean on any day the Canadian dollar equivalent of such amount determined by reference to the U.S.-Canadian Exchange Rate in effect on such date;</w:t>
      </w:r>
    </w:p>
    <w:p>
      <w:pPr>
        <w:spacing w:after="0" w:line="154" w:lineRule="exact"/>
        <w:rPr>
          <w:rFonts w:ascii="Times New Roman" w:cs="Times New Roman" w:eastAsia="Times New Roman" w:hAnsi="Times New Roman"/>
          <w:sz w:val="18"/>
          <w:szCs w:val="18"/>
          <w:color w:val="auto"/>
        </w:rPr>
      </w:pPr>
    </w:p>
    <w:p>
      <w:pPr>
        <w:ind w:left="644" w:right="20" w:hanging="644"/>
        <w:spacing w:after="0" w:line="259"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on any given date shall mean the time on such date (or, if such date is not a Business Day, the time on the next succeeding Business Day) at which the principal office of the transfer agent for the Common Shares (or, after the Separation Time, the principal transfer office of the Rights Agent) is closed to the public; provided, however, that for the purposes of the definitions of “Competing Permitted Bid” and “Permitted Bid”, “close of business” on any date means 11:59 p.m. (local time at the place of deposit) on such date (or, if such date is not a Business Day, 11:59 p.m. (local time at the place of deposit) on the next succeeding Business Day);</w:t>
      </w:r>
    </w:p>
    <w:p>
      <w:pPr>
        <w:spacing w:after="0" w:line="179" w:lineRule="exact"/>
        <w:rPr>
          <w:rFonts w:ascii="Times New Roman" w:cs="Times New Roman" w:eastAsia="Times New Roman" w:hAnsi="Times New Roman"/>
          <w:sz w:val="18"/>
          <w:szCs w:val="18"/>
          <w:color w:val="auto"/>
        </w:rPr>
      </w:pPr>
    </w:p>
    <w:p>
      <w:pPr>
        <w:ind w:left="644" w:right="500" w:hanging="644"/>
        <w:spacing w:after="0" w:line="28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shall mean the common shares in the capital of the Corporation as presently constituted, as such shares may be subdivided, consolidated, reclassified or otherwise changed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Permitted Bid</w:t>
      </w:r>
      <w:r>
        <w:rPr>
          <w:rFonts w:ascii="Times New Roman" w:cs="Times New Roman" w:eastAsia="Times New Roman" w:hAnsi="Times New Roman"/>
          <w:sz w:val="18"/>
          <w:szCs w:val="18"/>
          <w:color w:val="auto"/>
        </w:rPr>
        <w:t>” shall mean a Take-over Bid which also complies with the following additional provisions:</w:t>
      </w:r>
    </w:p>
    <w:p>
      <w:pPr>
        <w:spacing w:after="0" w:line="229" w:lineRule="exact"/>
        <w:rPr>
          <w:rFonts w:ascii="Times New Roman" w:cs="Times New Roman" w:eastAsia="Times New Roman" w:hAnsi="Times New Roman"/>
          <w:sz w:val="18"/>
          <w:szCs w:val="18"/>
          <w:color w:val="auto"/>
        </w:rPr>
      </w:pPr>
    </w:p>
    <w:p>
      <w:pPr>
        <w:ind w:left="1304" w:right="380"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after a Permitted Bid or another Competing Permitted Bid has been made and prior to the expiry, termination or withdrawal of such Permitted Bid or Competing Permitted Bid;</w:t>
      </w:r>
    </w:p>
    <w:p>
      <w:pPr>
        <w:spacing w:after="0" w:line="161" w:lineRule="exact"/>
        <w:rPr>
          <w:rFonts w:ascii="Times New Roman" w:cs="Times New Roman" w:eastAsia="Times New Roman" w:hAnsi="Times New Roman"/>
          <w:sz w:val="18"/>
          <w:szCs w:val="18"/>
          <w:color w:val="auto"/>
        </w:rPr>
      </w:pPr>
    </w:p>
    <w:p>
      <w:pPr>
        <w:ind w:left="1304" w:right="160"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complies with all of the provisions of a Permitted Bid other than the condition set forth in Subsection (iii) of the definition of a Permitted Bid; and</w:t>
      </w:r>
    </w:p>
    <w:p>
      <w:pPr>
        <w:spacing w:after="0" w:line="161" w:lineRule="exact"/>
        <w:rPr>
          <w:rFonts w:ascii="Times New Roman" w:cs="Times New Roman" w:eastAsia="Times New Roman" w:hAnsi="Times New Roman"/>
          <w:sz w:val="18"/>
          <w:szCs w:val="18"/>
          <w:color w:val="auto"/>
        </w:rPr>
      </w:pPr>
    </w:p>
    <w:p>
      <w:pPr>
        <w:ind w:left="1304" w:hanging="656"/>
        <w:spacing w:after="0" w:line="266"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76" w:lineRule="exact"/>
        <w:rPr>
          <w:sz w:val="20"/>
          <w:szCs w:val="20"/>
          <w:color w:val="auto"/>
        </w:rPr>
      </w:pPr>
    </w:p>
    <w:p>
      <w:pPr>
        <w:ind w:left="644" w:right="40"/>
        <w:spacing w:after="0" w:line="261" w:lineRule="auto"/>
        <w:rPr>
          <w:sz w:val="20"/>
          <w:szCs w:val="20"/>
          <w:color w:val="auto"/>
        </w:rPr>
      </w:pPr>
      <w:r>
        <w:rPr>
          <w:rFonts w:ascii="Times New Roman" w:cs="Times New Roman" w:eastAsia="Times New Roman" w:hAnsi="Times New Roman"/>
          <w:sz w:val="18"/>
          <w:szCs w:val="18"/>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176" w:lineRule="exact"/>
        <w:rPr>
          <w:sz w:val="20"/>
          <w:szCs w:val="20"/>
          <w:color w:val="auto"/>
        </w:rPr>
      </w:pPr>
    </w:p>
    <w:p>
      <w:pPr>
        <w:ind w:left="644" w:hanging="644"/>
        <w:spacing w:after="0"/>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Person is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by another Person or two or more Persons acting jointly or in concert if:</w:t>
      </w:r>
    </w:p>
    <w:p>
      <w:pPr>
        <w:spacing w:after="0" w:line="229" w:lineRule="exact"/>
        <w:rPr>
          <w:rFonts w:ascii="Times New Roman" w:cs="Times New Roman" w:eastAsia="Times New Roman" w:hAnsi="Times New Roman"/>
          <w:sz w:val="18"/>
          <w:szCs w:val="18"/>
          <w:color w:val="auto"/>
        </w:rPr>
      </w:pPr>
    </w:p>
    <w:p>
      <w:pPr>
        <w:ind w:left="1304" w:right="160" w:hanging="656"/>
        <w:spacing w:after="0" w:line="266" w:lineRule="auto"/>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body corporate, securities entitled to vote in the election of directors carrying more than 50 percent of the votes for the election of directors are held, directly or indirectly, by or on behalf of the other Person or Persons and the votes carried by such securities are entitled, if exercised, to elect a majority of the board of directors of such body corporate;</w:t>
      </w:r>
    </w:p>
    <w:p>
      <w:pPr>
        <w:spacing w:after="0" w:line="175" w:lineRule="exact"/>
        <w:rPr>
          <w:rFonts w:ascii="Times New Roman" w:cs="Times New Roman" w:eastAsia="Times New Roman" w:hAnsi="Times New Roman"/>
          <w:sz w:val="18"/>
          <w:szCs w:val="18"/>
          <w:color w:val="auto"/>
        </w:rPr>
      </w:pPr>
    </w:p>
    <w:p>
      <w:pPr>
        <w:ind w:left="1304" w:right="260" w:hanging="656"/>
        <w:spacing w:after="0" w:line="282" w:lineRule="auto"/>
        <w:tabs>
          <w:tab w:leader="none" w:pos="13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other than a limited partnership, more than 50 percent of the interests in such partnership are held, directly or indirectly, by the other Person or Persons;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85" w:name="page86"/>
    <w:bookmarkEnd w:id="85"/>
    <w:p>
      <w:pPr>
        <w:ind w:left="1304" w:hanging="656"/>
        <w:spacing w:after="0" w:line="282" w:lineRule="auto"/>
        <w:tabs>
          <w:tab w:leader="none" w:pos="13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limited partnership, the other Person or each of the other Persons is the general partner of the limited partnership; or</w:t>
      </w:r>
    </w:p>
    <w:p>
      <w:pPr>
        <w:spacing w:after="0" w:line="161" w:lineRule="exact"/>
        <w:rPr>
          <w:rFonts w:ascii="Times New Roman" w:cs="Times New Roman" w:eastAsia="Times New Roman" w:hAnsi="Times New Roman"/>
          <w:sz w:val="18"/>
          <w:szCs w:val="18"/>
          <w:color w:val="auto"/>
        </w:rPr>
      </w:pPr>
    </w:p>
    <w:p>
      <w:pPr>
        <w:ind w:left="1304" w:right="120" w:hanging="656"/>
        <w:spacing w:after="0" w:line="282" w:lineRule="auto"/>
        <w:tabs>
          <w:tab w:leader="none" w:pos="13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specified Person that is not a body corporate, a partnership or a limited partnership, more than 50 percent of the voting interests of such entity are held, directly or indirectly, by or for the benefit of the other Person or Persons;</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shall be interpreted accordingly;</w:t>
      </w:r>
    </w:p>
    <w:p>
      <w:pPr>
        <w:spacing w:after="0" w:line="225" w:lineRule="exact"/>
        <w:rPr>
          <w:sz w:val="20"/>
          <w:szCs w:val="20"/>
          <w:color w:val="auto"/>
        </w:rPr>
      </w:pPr>
    </w:p>
    <w:p>
      <w:pPr>
        <w:jc w:val="both"/>
        <w:ind w:left="644" w:hanging="644"/>
        <w:spacing w:after="0" w:line="268"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mean a security convertible, exercisable or exchangeable into a Voting Share and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an acquisition by a Person of Voting Shares upon the exercise, conversion or exchange of a Convertible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a Person pursuant to a Permitted Bid Acquisition, an Exempt Acquisition or a Pro Rata Acquisition;</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Co-Rights Agents</w:t>
      </w:r>
      <w:r>
        <w:rPr>
          <w:rFonts w:ascii="Times New Roman" w:cs="Times New Roman" w:eastAsia="Times New Roman" w:hAnsi="Times New Roman"/>
          <w:sz w:val="18"/>
          <w:szCs w:val="18"/>
          <w:color w:val="auto"/>
        </w:rPr>
        <w:t>” shall have the meaning ascribed thereto in Subsection 4.1(a);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Date</w:t>
      </w:r>
      <w:r>
        <w:rPr>
          <w:rFonts w:ascii="Times New Roman" w:cs="Times New Roman" w:eastAsia="Times New Roman" w:hAnsi="Times New Roman"/>
          <w:sz w:val="18"/>
          <w:szCs w:val="18"/>
          <w:color w:val="auto"/>
        </w:rPr>
        <w:t>” shall have the meaning ascribed thereto in Subsection 5.1(d);</w:t>
      </w:r>
    </w:p>
    <w:p>
      <w:pPr>
        <w:spacing w:after="0" w:line="225" w:lineRule="exact"/>
        <w:rPr>
          <w:rFonts w:ascii="Times New Roman" w:cs="Times New Roman" w:eastAsia="Times New Roman" w:hAnsi="Times New Roman"/>
          <w:sz w:val="18"/>
          <w:szCs w:val="18"/>
          <w:color w:val="auto"/>
        </w:rPr>
      </w:pPr>
    </w:p>
    <w:p>
      <w:pPr>
        <w:ind w:left="644" w:right="300" w:hanging="644"/>
        <w:spacing w:after="0" w:line="286"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Reinvestment Acquisition</w:t>
      </w:r>
      <w:r>
        <w:rPr>
          <w:rFonts w:ascii="Times New Roman" w:cs="Times New Roman" w:eastAsia="Times New Roman" w:hAnsi="Times New Roman"/>
          <w:sz w:val="18"/>
          <w:szCs w:val="18"/>
          <w:color w:val="auto"/>
        </w:rPr>
        <w:t>” shall mean an acquisition of Voting Shares of any class pursuant to a Dividend Reinvestment Plan;</w:t>
      </w:r>
    </w:p>
    <w:p>
      <w:pPr>
        <w:spacing w:after="0" w:line="154" w:lineRule="exact"/>
        <w:rPr>
          <w:rFonts w:ascii="Times New Roman" w:cs="Times New Roman" w:eastAsia="Times New Roman" w:hAnsi="Times New Roman"/>
          <w:sz w:val="18"/>
          <w:szCs w:val="18"/>
          <w:color w:val="auto"/>
        </w:rPr>
      </w:pPr>
    </w:p>
    <w:p>
      <w:pPr>
        <w:ind w:left="644" w:right="460" w:hanging="644"/>
        <w:spacing w:after="0" w:line="286"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Reinvestment Plan</w:t>
      </w:r>
      <w:r>
        <w:rPr>
          <w:rFonts w:ascii="Times New Roman" w:cs="Times New Roman" w:eastAsia="Times New Roman" w:hAnsi="Times New Roman"/>
          <w:sz w:val="18"/>
          <w:szCs w:val="18"/>
          <w:color w:val="auto"/>
        </w:rPr>
        <w:t>” shall mean a regular dividend reinvestment or other plan of the Corporation made available by the Corporation to holders of its securities where such plan permits the holder to direct that some or all of:</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respect of shares of any class of the Corporation;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redemption of shares of the Corporation;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evidences of indebtedness of the Corporation;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cash payments;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be applied to the purchase from the Corporation of Voting Shares;</w:t>
      </w:r>
    </w:p>
    <w:p>
      <w:pPr>
        <w:spacing w:after="0" w:line="221" w:lineRule="exact"/>
        <w:rPr>
          <w:sz w:val="20"/>
          <w:szCs w:val="20"/>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July 24, 2024;</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to Exercise</w:t>
      </w:r>
      <w:r>
        <w:rPr>
          <w:rFonts w:ascii="Times New Roman" w:cs="Times New Roman" w:eastAsia="Times New Roman" w:hAnsi="Times New Roman"/>
          <w:sz w:val="18"/>
          <w:szCs w:val="18"/>
          <w:color w:val="auto"/>
        </w:rPr>
        <w:t>” shall have the meaning ascribed thereto in Subsection 2.2(d)(ii);</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Acquisition</w:t>
      </w:r>
      <w:r>
        <w:rPr>
          <w:rFonts w:ascii="Times New Roman" w:cs="Times New Roman" w:eastAsia="Times New Roman" w:hAnsi="Times New Roman"/>
          <w:sz w:val="18"/>
          <w:szCs w:val="18"/>
          <w:color w:val="auto"/>
        </w:rPr>
        <w:t>” shall mean an acquisition by a Person of Voting Shares and/or Convertible Securities:</w:t>
      </w:r>
    </w:p>
    <w:p>
      <w:pPr>
        <w:spacing w:after="0" w:line="229" w:lineRule="exact"/>
        <w:rPr>
          <w:rFonts w:ascii="Times New Roman" w:cs="Times New Roman" w:eastAsia="Times New Roman" w:hAnsi="Times New Roman"/>
          <w:sz w:val="18"/>
          <w:szCs w:val="18"/>
          <w:color w:val="auto"/>
        </w:rPr>
      </w:pPr>
    </w:p>
    <w:p>
      <w:pPr>
        <w:ind w:left="1304" w:right="220" w:hanging="656"/>
        <w:spacing w:after="0" w:line="282" w:lineRule="auto"/>
        <w:tabs>
          <w:tab w:leader="none" w:pos="130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Board of Directors has waived the application of Section 3.1 pursuant to the provisions of Subsections 5.1(b), (c) or (d);</w:t>
      </w:r>
    </w:p>
    <w:p>
      <w:pPr>
        <w:spacing w:after="0" w:line="161" w:lineRule="exact"/>
        <w:rPr>
          <w:rFonts w:ascii="Times New Roman" w:cs="Times New Roman" w:eastAsia="Times New Roman" w:hAnsi="Times New Roman"/>
          <w:sz w:val="18"/>
          <w:szCs w:val="18"/>
          <w:color w:val="auto"/>
        </w:rPr>
      </w:pPr>
    </w:p>
    <w:p>
      <w:pPr>
        <w:ind w:left="1304" w:hanging="656"/>
        <w:spacing w:after="0" w:line="254" w:lineRule="auto"/>
        <w:tabs>
          <w:tab w:leader="none" w:pos="130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distribution of Voting Shares and/or Convertible Securities made by the Corporation (A) to the public pursuant to a prospectus or similar document, provided that such Person does not thereby become the Beneficial Owner of a greater percentage of Voting Shares so offered than the percentage of Voting Shares Beneficially Owned by such Person immediately prior to such distribution, or (B) pursuant to a distribution, provided that (x) all necessary stock exchange approvals for such private placement have been obtained and such distribution complies with the terms and conditions of such approvals, and (y) such Person does not thereby become the Beneficial Owner of Voting Shares equal in number to more than 25% of the Voting Shares outstanding immediately prior to the distribution and, in making this determination, the securities to be issued to such Person on the distribution shall be deemed to be held by such Person but shall not be included in the aggregate number of Voting Shares outstanding immediately prior to the distribution; or</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amalgamation, merger, arrangement or other statutory procedure requiring shareholder approval;</w:t>
      </w:r>
    </w:p>
    <w:p>
      <w:pPr>
        <w:spacing w:after="0" w:line="221" w:lineRule="exact"/>
        <w:rPr>
          <w:rFonts w:ascii="Times New Roman" w:cs="Times New Roman" w:eastAsia="Times New Roman" w:hAnsi="Times New Roman"/>
          <w:sz w:val="18"/>
          <w:szCs w:val="18"/>
          <w:color w:val="auto"/>
        </w:rPr>
      </w:pPr>
    </w:p>
    <w:p>
      <w:pPr>
        <w:ind w:left="644" w:right="80" w:hanging="644"/>
        <w:spacing w:after="0" w:line="286" w:lineRule="auto"/>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as of any date, the price at which a holder may purchase the securities issuable upon exercise of one whole Right which, until adjustment thereof in accordance with the terms hereof, shall be:</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 an amount equal to three times the Market Price, from time to time, per Common Share; and</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86" w:name="page87"/>
    <w:bookmarkEnd w:id="86"/>
    <w:p>
      <w:pPr>
        <w:ind w:left="1304" w:right="280" w:hanging="656"/>
        <w:spacing w:after="0" w:line="282" w:lineRule="auto"/>
        <w:tabs>
          <w:tab w:leader="none" w:pos="13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 amount equal to three times the Market Price, as at the Separation Time, per Common Share;</w:t>
      </w:r>
    </w:p>
    <w:p>
      <w:pPr>
        <w:spacing w:after="0" w:line="15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Factor</w:t>
      </w:r>
      <w:r>
        <w:rPr>
          <w:rFonts w:ascii="Times New Roman" w:cs="Times New Roman" w:eastAsia="Times New Roman" w:hAnsi="Times New Roman"/>
          <w:sz w:val="18"/>
          <w:szCs w:val="18"/>
          <w:color w:val="auto"/>
        </w:rPr>
        <w:t>” shall have the meaning ascribed thereto in Subsection 2.3(a)(x);</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means the earlier of:</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Time; and</w:t>
      </w:r>
    </w:p>
    <w:p>
      <w:pPr>
        <w:spacing w:after="0" w:line="225" w:lineRule="exact"/>
        <w:rPr>
          <w:sz w:val="20"/>
          <w:szCs w:val="20"/>
          <w:color w:val="auto"/>
        </w:rPr>
      </w:pPr>
    </w:p>
    <w:p>
      <w:pPr>
        <w:ind w:left="1304" w:hanging="656"/>
        <w:spacing w:after="0"/>
        <w:tabs>
          <w:tab w:leader="none" w:pos="130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this Agreement pursuant to Sections 5.17 or 5.18;</w:t>
      </w:r>
    </w:p>
    <w:p>
      <w:pPr>
        <w:spacing w:after="0" w:line="221" w:lineRule="exact"/>
        <w:rPr>
          <w:rFonts w:ascii="Times New Roman" w:cs="Times New Roman" w:eastAsia="Times New Roman" w:hAnsi="Times New Roman"/>
          <w:sz w:val="18"/>
          <w:szCs w:val="18"/>
          <w:color w:val="auto"/>
        </w:rPr>
      </w:pPr>
    </w:p>
    <w:p>
      <w:pPr>
        <w:ind w:left="644" w:right="200" w:hanging="644"/>
        <w:spacing w:after="0" w:line="259" w:lineRule="auto"/>
        <w:tabs>
          <w:tab w:leader="none" w:pos="6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Fiduciary</w:t>
      </w:r>
      <w:r>
        <w:rPr>
          <w:rFonts w:ascii="Times New Roman" w:cs="Times New Roman" w:eastAsia="Times New Roman" w:hAnsi="Times New Roman"/>
          <w:sz w:val="18"/>
          <w:szCs w:val="18"/>
          <w:color w:val="auto"/>
        </w:rPr>
        <w:t>” shall mean, when acting in that capacity, a trust company registered under the trust company legislation of Canada or any province thereof, a trust company organized under the laws of any state of the United States of America, a portfolio manager registered under the securities legislation of one or more provinces of Canada or an investment adviser registered under the United States Investment Advisers Act of 1940 or any other securities legislation of the United States of America or any state of the United States of America;</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Flip-in Event</w:t>
      </w:r>
      <w:r>
        <w:rPr>
          <w:rFonts w:ascii="Times New Roman" w:cs="Times New Roman" w:eastAsia="Times New Roman" w:hAnsi="Times New Roman"/>
          <w:sz w:val="18"/>
          <w:szCs w:val="18"/>
          <w:color w:val="auto"/>
        </w:rPr>
        <w:t>” shall mean a transaction in or pursuant to which any Person becomes an Acquiring Person;</w:t>
      </w:r>
    </w:p>
    <w:p>
      <w:pPr>
        <w:spacing w:after="0" w:line="225" w:lineRule="exact"/>
        <w:rPr>
          <w:sz w:val="20"/>
          <w:szCs w:val="20"/>
          <w:color w:val="auto"/>
        </w:rPr>
      </w:pPr>
    </w:p>
    <w:p>
      <w:pPr>
        <w:ind w:left="644" w:hanging="644"/>
        <w:spacing w:after="0"/>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have the meaning ascribed thereto in Section 2.8;</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Shareholders</w:t>
      </w:r>
      <w:r>
        <w:rPr>
          <w:rFonts w:ascii="Times New Roman" w:cs="Times New Roman" w:eastAsia="Times New Roman" w:hAnsi="Times New Roman"/>
          <w:sz w:val="18"/>
          <w:szCs w:val="18"/>
          <w:color w:val="auto"/>
        </w:rPr>
        <w:t>” shall mean holders of Voting Shares, other than:</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Acquiring Person;</w:t>
      </w:r>
    </w:p>
    <w:p>
      <w:pPr>
        <w:spacing w:after="0" w:line="225" w:lineRule="exact"/>
        <w:rPr>
          <w:rFonts w:ascii="Times New Roman" w:cs="Times New Roman" w:eastAsia="Times New Roman" w:hAnsi="Times New Roman"/>
          <w:sz w:val="18"/>
          <w:szCs w:val="18"/>
          <w:color w:val="auto"/>
        </w:rPr>
      </w:pPr>
    </w:p>
    <w:p>
      <w:pPr>
        <w:ind w:left="1304" w:right="420" w:hanging="656"/>
        <w:spacing w:after="0" w:line="282"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Offeror, other than a Person who, by virtue of Subsection 1.1(f)(iii)(B), is not deemed to Beneficially Own such Voting Shares at the relevant time;</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or Associate of such Acquiring Person or Offeror;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jointly or in concert with such Acquiring Person or Offeror; and</w:t>
      </w:r>
    </w:p>
    <w:p>
      <w:pPr>
        <w:spacing w:after="0" w:line="225" w:lineRule="exact"/>
        <w:rPr>
          <w:rFonts w:ascii="Times New Roman" w:cs="Times New Roman" w:eastAsia="Times New Roman" w:hAnsi="Times New Roman"/>
          <w:sz w:val="18"/>
          <w:szCs w:val="18"/>
          <w:color w:val="auto"/>
        </w:rPr>
      </w:pPr>
    </w:p>
    <w:p>
      <w:pPr>
        <w:ind w:left="1304" w:right="40" w:hanging="656"/>
        <w:spacing w:after="0" w:line="289" w:lineRule="auto"/>
        <w:tabs>
          <w:tab w:leader="none" w:pos="130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benefit plan, deferred profit sharing plan, stock participation plan and any other similar plan or trust for the benefit of employees of the Corporation or a Subsidiary of the Corporation, unless the beneficiaries of the plan or trust direct the manner in which the Voting Shares are to be voted or direct whether the Voting Shares are to be tendered to a Take-over Bid;</w:t>
      </w:r>
    </w:p>
    <w:p>
      <w:pPr>
        <w:spacing w:after="0" w:line="153" w:lineRule="exact"/>
        <w:rPr>
          <w:rFonts w:ascii="Times New Roman" w:cs="Times New Roman" w:eastAsia="Times New Roman" w:hAnsi="Times New Roman"/>
          <w:sz w:val="17"/>
          <w:szCs w:val="17"/>
          <w:color w:val="auto"/>
        </w:rPr>
      </w:pPr>
    </w:p>
    <w:p>
      <w:pPr>
        <w:ind w:left="644" w:right="120" w:hanging="644"/>
        <w:spacing w:after="0" w:line="254" w:lineRule="auto"/>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per share of any securities on any date of determination shall mean the average of the daily closing prices per share 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192" w:lineRule="exact"/>
        <w:rPr>
          <w:rFonts w:ascii="Times New Roman" w:cs="Times New Roman" w:eastAsia="Times New Roman" w:hAnsi="Times New Roman"/>
          <w:sz w:val="18"/>
          <w:szCs w:val="18"/>
          <w:color w:val="auto"/>
        </w:rPr>
      </w:pPr>
    </w:p>
    <w:p>
      <w:pPr>
        <w:ind w:left="1304" w:hanging="656"/>
        <w:spacing w:after="0" w:line="261"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board lot sale price or, in case no such sale takes place on such date, the average of the closing bid and asked prices for each of such securities as reported by the securities exchange or national securities quotation system on which such securities are listed or admitted for trading on which the largest number of such securities were traded during the most recently completed calendar year;</w:t>
      </w:r>
    </w:p>
    <w:p>
      <w:pPr>
        <w:spacing w:after="0" w:line="179" w:lineRule="exact"/>
        <w:rPr>
          <w:rFonts w:ascii="Times New Roman" w:cs="Times New Roman" w:eastAsia="Times New Roman" w:hAnsi="Times New Roman"/>
          <w:sz w:val="18"/>
          <w:szCs w:val="18"/>
          <w:color w:val="auto"/>
        </w:rPr>
      </w:pPr>
    </w:p>
    <w:p>
      <w:pPr>
        <w:ind w:left="1304" w:right="60" w:hanging="656"/>
        <w:spacing w:after="0" w:line="261" w:lineRule="auto"/>
        <w:tabs>
          <w:tab w:leader="none" w:pos="13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none of such prices is available on such day or the securities are not listed or admitted to trading on a securities exchange or on a national securities quotation system, the last sale price or, in case no such sale takes place on such date, the average of the high bid and low asked prices for each of such securities in the over-the-counter market, as quoted by any reporting system then in use (as selected by the Board of Directors); or</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87" w:name="page88"/>
    <w:bookmarkEnd w:id="87"/>
    <w:p>
      <w:pPr>
        <w:jc w:val="both"/>
        <w:ind w:left="1304" w:hanging="656"/>
        <w:spacing w:after="0" w:line="266" w:lineRule="auto"/>
        <w:tabs>
          <w:tab w:leader="none" w:pos="13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none of such prices is available on such day or the securities are not listed or admitted to trading on a securities exchange or quoted by any such reporting system, the average of the closing bid and asked prices as furnished by a professional market maker making a market in the securities selected in good faith by the Board of Directors;</w:t>
      </w:r>
    </w:p>
    <w:p>
      <w:pPr>
        <w:spacing w:after="0" w:line="176" w:lineRule="exact"/>
        <w:rPr>
          <w:sz w:val="20"/>
          <w:szCs w:val="20"/>
          <w:color w:val="auto"/>
        </w:rPr>
      </w:pPr>
    </w:p>
    <w:p>
      <w:pPr>
        <w:ind w:left="644" w:right="60"/>
        <w:spacing w:after="0" w:line="258" w:lineRule="auto"/>
        <w:rPr>
          <w:sz w:val="20"/>
          <w:szCs w:val="20"/>
          <w:color w:val="auto"/>
        </w:rPr>
      </w:pPr>
      <w:r>
        <w:rPr>
          <w:rFonts w:ascii="Times New Roman" w:cs="Times New Roman" w:eastAsia="Times New Roman" w:hAnsi="Times New Roman"/>
          <w:sz w:val="18"/>
          <w:szCs w:val="18"/>
          <w:color w:val="auto"/>
        </w:rPr>
        <w:t>provided, however, that if for any reason none of such prices is available on such day, the closing price per share of such securities on such date means the fair value per share of such securities on such date as determined by a nationally or internationally recognized investment dealer or investment banker with respect to the fair value per share of such securities.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179" w:lineRule="exact"/>
        <w:rPr>
          <w:sz w:val="20"/>
          <w:szCs w:val="20"/>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62-104</w:t>
      </w:r>
      <w:r>
        <w:rPr>
          <w:rFonts w:ascii="Times New Roman" w:cs="Times New Roman" w:eastAsia="Times New Roman" w:hAnsi="Times New Roman"/>
          <w:sz w:val="18"/>
          <w:szCs w:val="18"/>
          <w:color w:val="auto"/>
        </w:rPr>
        <w:t xml:space="preserve">” means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shall have the meaning ascribed thereto in Subsection 2.2(c);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to Acquire</w:t>
      </w:r>
      <w:r>
        <w:rPr>
          <w:rFonts w:ascii="Times New Roman" w:cs="Times New Roman" w:eastAsia="Times New Roman" w:hAnsi="Times New Roman"/>
          <w:sz w:val="18"/>
          <w:szCs w:val="18"/>
          <w:color w:val="auto"/>
        </w:rPr>
        <w:t>” shall include:</w:t>
      </w:r>
    </w:p>
    <w:p>
      <w:pPr>
        <w:spacing w:after="0" w:line="229" w:lineRule="exact"/>
        <w:rPr>
          <w:rFonts w:ascii="Times New Roman" w:cs="Times New Roman" w:eastAsia="Times New Roman" w:hAnsi="Times New Roman"/>
          <w:sz w:val="18"/>
          <w:szCs w:val="18"/>
          <w:color w:val="auto"/>
        </w:rPr>
      </w:pPr>
    </w:p>
    <w:p>
      <w:pPr>
        <w:ind w:left="1304" w:right="100" w:hanging="656"/>
        <w:spacing w:after="0" w:line="282" w:lineRule="auto"/>
        <w:tabs>
          <w:tab w:leader="none" w:pos="13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to purchase or a solicitation of an offer to sell Voting Shares or a public announcement of an intention to make such an offer or solicitation;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acceptance of an offer to sell Voting Shares, whether or not such offer to sell has been solicited;</w:t>
      </w:r>
    </w:p>
    <w:p>
      <w:pPr>
        <w:spacing w:after="0" w:line="225"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or any combination thereof, and the Person accepting an offer to sell shall be deemed to be making an Offer to Acquire to the Person that made the offer to sell;</w:t>
      </w:r>
    </w:p>
    <w:p>
      <w:pPr>
        <w:spacing w:after="0" w:line="158" w:lineRule="exact"/>
        <w:rPr>
          <w:sz w:val="20"/>
          <w:szCs w:val="20"/>
          <w:color w:val="auto"/>
        </w:rPr>
      </w:pPr>
    </w:p>
    <w:p>
      <w:pPr>
        <w:ind w:left="644" w:right="180" w:hanging="644"/>
        <w:spacing w:after="0" w:line="286" w:lineRule="auto"/>
        <w:tabs>
          <w:tab w:leader="none" w:pos="6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shall mean a Person who has made a public announcement of a current intention to make or who is making a Take-over Bid but only so long as the Take-over Bid so announced or made has not been withdrawn or terminated or has not expired;</w:t>
      </w:r>
    </w:p>
    <w:p>
      <w:pPr>
        <w:spacing w:after="0" w:line="154" w:lineRule="exact"/>
        <w:rPr>
          <w:rFonts w:ascii="Times New Roman" w:cs="Times New Roman" w:eastAsia="Times New Roman" w:hAnsi="Times New Roman"/>
          <w:sz w:val="18"/>
          <w:szCs w:val="18"/>
          <w:color w:val="auto"/>
        </w:rPr>
      </w:pPr>
    </w:p>
    <w:p>
      <w:pPr>
        <w:ind w:left="644" w:right="580" w:hanging="644"/>
        <w:spacing w:after="0" w:line="286" w:lineRule="auto"/>
        <w:tabs>
          <w:tab w:leader="none" w:pos="6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Bid</w:t>
      </w:r>
      <w:r>
        <w:rPr>
          <w:rFonts w:ascii="Times New Roman" w:cs="Times New Roman" w:eastAsia="Times New Roman" w:hAnsi="Times New Roman"/>
          <w:sz w:val="18"/>
          <w:szCs w:val="18"/>
          <w:color w:val="auto"/>
        </w:rPr>
        <w:t>” shall mean a Take-over Bid, made by an Offeror by way of take-over bid circular, which also complies with the following additional provisions:</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to all holders of Voting Shares on the books of the Corporation, other than the Offeror;</w:t>
      </w:r>
    </w:p>
    <w:p>
      <w:pPr>
        <w:spacing w:after="0" w:line="225" w:lineRule="exact"/>
        <w:rPr>
          <w:rFonts w:ascii="Times New Roman" w:cs="Times New Roman" w:eastAsia="Times New Roman" w:hAnsi="Times New Roman"/>
          <w:sz w:val="18"/>
          <w:szCs w:val="18"/>
          <w:color w:val="auto"/>
        </w:rPr>
      </w:pPr>
    </w:p>
    <w:p>
      <w:pPr>
        <w:ind w:left="1304" w:right="200" w:hanging="656"/>
        <w:spacing w:after="0" w:line="266" w:lineRule="auto"/>
        <w:tabs>
          <w:tab w:leader="none" w:pos="13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unless more than 50% of the Voting Shares held by Independent Shareholders (x) shall have been deposited or tendered pursuant to the Take-over Bid and not withdrawn and (y) have previously been or are taken up at the same time;</w:t>
      </w:r>
    </w:p>
    <w:p>
      <w:pPr>
        <w:spacing w:after="0" w:line="175" w:lineRule="exact"/>
        <w:rPr>
          <w:rFonts w:ascii="Times New Roman" w:cs="Times New Roman" w:eastAsia="Times New Roman" w:hAnsi="Times New Roman"/>
          <w:sz w:val="18"/>
          <w:szCs w:val="18"/>
          <w:color w:val="auto"/>
        </w:rPr>
      </w:pPr>
    </w:p>
    <w:p>
      <w:pPr>
        <w:ind w:left="1304" w:right="120" w:hanging="656"/>
        <w:spacing w:after="0" w:line="266" w:lineRule="auto"/>
        <w:tabs>
          <w:tab w:leader="none" w:pos="13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no earlier than the earlier of (A) 105 days following the date of the Take-over Bid and (B) the last day of the initial deposit period that the Offeror must allow securities to be deposited under the Take-over Bid pursuant to NI 62-104;</w:t>
      </w:r>
    </w:p>
    <w:p>
      <w:pPr>
        <w:spacing w:after="0" w:line="175" w:lineRule="exact"/>
        <w:rPr>
          <w:rFonts w:ascii="Times New Roman" w:cs="Times New Roman" w:eastAsia="Times New Roman" w:hAnsi="Times New Roman"/>
          <w:sz w:val="18"/>
          <w:szCs w:val="18"/>
          <w:color w:val="auto"/>
        </w:rPr>
      </w:pPr>
    </w:p>
    <w:p>
      <w:pPr>
        <w:ind w:left="1304" w:right="140" w:hanging="656"/>
        <w:spacing w:after="0" w:line="266" w:lineRule="auto"/>
        <w:tabs>
          <w:tab w:leader="none" w:pos="13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75" w:lineRule="exact"/>
        <w:rPr>
          <w:rFonts w:ascii="Times New Roman" w:cs="Times New Roman" w:eastAsia="Times New Roman" w:hAnsi="Times New Roman"/>
          <w:sz w:val="18"/>
          <w:szCs w:val="18"/>
          <w:color w:val="auto"/>
        </w:rPr>
      </w:pPr>
    </w:p>
    <w:p>
      <w:pPr>
        <w:ind w:left="1304" w:hanging="656"/>
        <w:spacing w:after="0" w:line="261" w:lineRule="auto"/>
        <w:tabs>
          <w:tab w:leader="none" w:pos="13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80" w:lineRule="exact"/>
        <w:rPr>
          <w:sz w:val="20"/>
          <w:szCs w:val="20"/>
          <w:color w:val="auto"/>
        </w:rPr>
      </w:pPr>
    </w:p>
    <w:p>
      <w:pPr>
        <w:ind w:left="644" w:right="160"/>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and (B) the term “Permitted Bid” shall include a Competing Permitted Bid;</w:t>
      </w:r>
    </w:p>
    <w:p>
      <w:pPr>
        <w:spacing w:after="0" w:line="176" w:lineRule="exact"/>
        <w:rPr>
          <w:sz w:val="20"/>
          <w:szCs w:val="20"/>
          <w:color w:val="auto"/>
        </w:rPr>
      </w:pPr>
    </w:p>
    <w:p>
      <w:pPr>
        <w:ind w:left="644" w:right="220" w:hanging="644"/>
        <w:spacing w:after="0" w:line="286"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Bid Acquisition</w:t>
      </w:r>
      <w:r>
        <w:rPr>
          <w:rFonts w:ascii="Times New Roman" w:cs="Times New Roman" w:eastAsia="Times New Roman" w:hAnsi="Times New Roman"/>
          <w:sz w:val="18"/>
          <w:szCs w:val="18"/>
          <w:color w:val="auto"/>
        </w:rPr>
        <w:t>” shall mean an acquisition of Voting Shares made pursuant to a Permitted Bid or a Competing Permitted Bid;</w:t>
      </w:r>
    </w:p>
    <w:p>
      <w:pPr>
        <w:spacing w:after="0" w:line="37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337" w:right="399" w:bottom="1440" w:gutter="0" w:footer="0" w:header="0"/>
        </w:sectPr>
      </w:pPr>
    </w:p>
    <w:bookmarkStart w:id="88" w:name="page89"/>
    <w:bookmarkEnd w:id="88"/>
    <w:p>
      <w:pPr>
        <w:ind w:left="644" w:right="40" w:hanging="644"/>
        <w:spacing w:after="0" w:line="262" w:lineRule="auto"/>
        <w:tabs>
          <w:tab w:leader="none" w:pos="6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Lock-Up Agreement</w:t>
      </w:r>
      <w:r>
        <w:rPr>
          <w:rFonts w:ascii="Times New Roman" w:cs="Times New Roman" w:eastAsia="Times New Roman" w:hAnsi="Times New Roman"/>
          <w:sz w:val="18"/>
          <w:szCs w:val="18"/>
          <w:color w:val="auto"/>
        </w:rPr>
        <w:t>” shall mean an agreement between a Person and one or more holders of Voting Shares pursuant to which such holders (each a “</w:t>
      </w:r>
      <w:r>
        <w:rPr>
          <w:rFonts w:ascii="Times New Roman" w:cs="Times New Roman" w:eastAsia="Times New Roman" w:hAnsi="Times New Roman"/>
          <w:sz w:val="18"/>
          <w:szCs w:val="18"/>
          <w:b w:val="1"/>
          <w:bCs w:val="1"/>
          <w:color w:val="auto"/>
        </w:rPr>
        <w:t>Locked-Up Person</w:t>
      </w:r>
      <w:r>
        <w:rPr>
          <w:rFonts w:ascii="Times New Roman" w:cs="Times New Roman" w:eastAsia="Times New Roman" w:hAnsi="Times New Roman"/>
          <w:sz w:val="18"/>
          <w:szCs w:val="18"/>
          <w:color w:val="auto"/>
        </w:rPr>
        <w:t>”) agree to deposit or tender Voting Shares to a Take-over Bid (the “</w:t>
      </w:r>
      <w:r>
        <w:rPr>
          <w:rFonts w:ascii="Times New Roman" w:cs="Times New Roman" w:eastAsia="Times New Roman" w:hAnsi="Times New Roman"/>
          <w:sz w:val="18"/>
          <w:szCs w:val="18"/>
          <w:b w:val="1"/>
          <w:bCs w:val="1"/>
          <w:color w:val="auto"/>
        </w:rPr>
        <w:t>Lock-Up Bid</w:t>
      </w:r>
      <w:r>
        <w:rPr>
          <w:rFonts w:ascii="Times New Roman" w:cs="Times New Roman" w:eastAsia="Times New Roman" w:hAnsi="Times New Roman"/>
          <w:sz w:val="18"/>
          <w:szCs w:val="18"/>
          <w:color w:val="auto"/>
        </w:rPr>
        <w:t>”) made or to be made by such Person or any of such Person’s Affiliates or Associates or any other Person with which such Person is acting jointly or in concert, provided that:</w:t>
      </w:r>
    </w:p>
    <w:p>
      <w:pPr>
        <w:spacing w:after="0" w:line="180" w:lineRule="exact"/>
        <w:rPr>
          <w:rFonts w:ascii="Times New Roman" w:cs="Times New Roman" w:eastAsia="Times New Roman" w:hAnsi="Times New Roman"/>
          <w:sz w:val="18"/>
          <w:szCs w:val="18"/>
          <w:color w:val="auto"/>
        </w:rPr>
      </w:pPr>
    </w:p>
    <w:p>
      <w:pPr>
        <w:ind w:left="1304" w:right="140" w:hanging="656"/>
        <w:spacing w:after="0" w:line="266" w:lineRule="auto"/>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agreement are publicly disclosed and a copy of such agreement is made available to the public (including the Corporation) not later than the date of the Lock-Up Bid or, if the Lock-Up Bid has been made prior to the date on which such agreement is entered into, not later than the first business day following the date of such agreement;</w:t>
      </w:r>
    </w:p>
    <w:p>
      <w:pPr>
        <w:spacing w:after="0" w:line="175" w:lineRule="exact"/>
        <w:rPr>
          <w:rFonts w:ascii="Times New Roman" w:cs="Times New Roman" w:eastAsia="Times New Roman" w:hAnsi="Times New Roman"/>
          <w:sz w:val="18"/>
          <w:szCs w:val="18"/>
          <w:color w:val="auto"/>
        </w:rPr>
      </w:pPr>
    </w:p>
    <w:p>
      <w:pPr>
        <w:ind w:left="1304" w:right="20" w:hanging="656"/>
        <w:spacing w:after="0" w:line="266" w:lineRule="auto"/>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permits a Locked-Up Person to terminate its obligation to deposit or tender Voting Shares to or not to withdraw such Voting Shares from the Lock-Up Bid, in order to tender or deposit the Voting Shares to another Take-over Bid or to support another transaction:</w:t>
      </w:r>
    </w:p>
    <w:p>
      <w:pPr>
        <w:spacing w:after="0" w:line="17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price or value of the consideration per Voting Share offered under such other Take-over Bid or transaction:</w:t>
      </w:r>
    </w:p>
    <w:p>
      <w:pPr>
        <w:spacing w:after="0" w:line="225" w:lineRule="exact"/>
        <w:rPr>
          <w:rFonts w:ascii="Times New Roman" w:cs="Times New Roman" w:eastAsia="Times New Roman" w:hAnsi="Times New Roman"/>
          <w:sz w:val="18"/>
          <w:szCs w:val="18"/>
          <w:color w:val="auto"/>
        </w:rPr>
      </w:pPr>
    </w:p>
    <w:p>
      <w:pPr>
        <w:ind w:left="2584" w:right="320" w:hanging="640"/>
        <w:spacing w:after="0" w:line="282" w:lineRule="auto"/>
        <w:tabs>
          <w:tab w:leader="none" w:pos="2584"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the price or value of the consideration per Voting Share at which the Locked-Up Person has agreed to deposit or tender Voting Shares to the Lock-Up Bid; or</w:t>
      </w:r>
    </w:p>
    <w:p>
      <w:pPr>
        <w:spacing w:after="0" w:line="157" w:lineRule="exact"/>
        <w:rPr>
          <w:rFonts w:ascii="Times New Roman" w:cs="Times New Roman" w:eastAsia="Times New Roman" w:hAnsi="Times New Roman"/>
          <w:sz w:val="18"/>
          <w:szCs w:val="18"/>
          <w:color w:val="auto"/>
        </w:rPr>
      </w:pPr>
    </w:p>
    <w:p>
      <w:pPr>
        <w:ind w:left="2584" w:right="140" w:hanging="640"/>
        <w:spacing w:after="0" w:line="259" w:lineRule="auto"/>
        <w:tabs>
          <w:tab w:leader="none" w:pos="2584"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as much as or more than a specified amount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the price or value of the consideration per Voting Share at which the Locked-Up Person has agreed to deposit or tender Voting Shares to the Lock-Up Bid, provided that such Specified Amount is not greater than 7% of the price or value of the consideration per Voting Share at which the Locked-Up Person has agreed to deposit or tender Voting Shares to the Lock-Up Bid; and</w:t>
      </w:r>
    </w:p>
    <w:p>
      <w:pPr>
        <w:spacing w:after="0" w:line="183" w:lineRule="exact"/>
        <w:rPr>
          <w:rFonts w:ascii="Times New Roman" w:cs="Times New Roman" w:eastAsia="Times New Roman" w:hAnsi="Times New Roman"/>
          <w:sz w:val="18"/>
          <w:szCs w:val="18"/>
          <w:color w:val="auto"/>
        </w:rPr>
      </w:pPr>
    </w:p>
    <w:p>
      <w:pPr>
        <w:ind w:left="1944" w:right="40" w:hanging="648"/>
        <w:spacing w:after="0" w:line="261" w:lineRule="auto"/>
        <w:tabs>
          <w:tab w:leader="none" w:pos="194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Voting Shares offered to be purchased under the Lock-Up Bid is less than 100% of the Voting Shares held by Independent Shareholders, where the number of Voting Shares to be purchased under such other Take-over Bid or transaction at a price or value per Voting Share that is not less than the price or value per Voting Share offered under the Lock-Up Bid:</w:t>
      </w:r>
    </w:p>
    <w:p>
      <w:pPr>
        <w:spacing w:after="0" w:line="179"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3"/>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greater than the number of Voting Shares that the Offeror has offered to purchase under the Lock-Up Bid; or</w:t>
      </w:r>
    </w:p>
    <w:p>
      <w:pPr>
        <w:spacing w:after="0" w:line="232" w:lineRule="exact"/>
        <w:rPr>
          <w:rFonts w:ascii="Times New Roman" w:cs="Times New Roman" w:eastAsia="Times New Roman" w:hAnsi="Times New Roman"/>
          <w:sz w:val="17"/>
          <w:szCs w:val="17"/>
          <w:color w:val="auto"/>
        </w:rPr>
      </w:pPr>
    </w:p>
    <w:p>
      <w:pPr>
        <w:ind w:left="2584" w:right="60" w:hanging="640"/>
        <w:spacing w:after="0" w:line="268" w:lineRule="auto"/>
        <w:tabs>
          <w:tab w:leader="none" w:pos="2584"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as much as or more than a specified number (the “</w:t>
      </w:r>
      <w:r>
        <w:rPr>
          <w:rFonts w:ascii="Times New Roman" w:cs="Times New Roman" w:eastAsia="Times New Roman" w:hAnsi="Times New Roman"/>
          <w:sz w:val="18"/>
          <w:szCs w:val="18"/>
          <w:b w:val="1"/>
          <w:bCs w:val="1"/>
          <w:color w:val="auto"/>
        </w:rPr>
        <w:t>Specified Number</w:t>
      </w:r>
      <w:r>
        <w:rPr>
          <w:rFonts w:ascii="Times New Roman" w:cs="Times New Roman" w:eastAsia="Times New Roman" w:hAnsi="Times New Roman"/>
          <w:sz w:val="18"/>
          <w:szCs w:val="18"/>
          <w:color w:val="auto"/>
        </w:rPr>
        <w:t>”) the number of Voting Shares that the Offeror has offered to purchase under the Lock-Up Bid, provided that the Specified Number is not greater than 7% of the number of Voting Shares offered to be purchased under the Lock-Up Bid,</w:t>
      </w:r>
    </w:p>
    <w:p>
      <w:pPr>
        <w:spacing w:after="0" w:line="175" w:lineRule="exact"/>
        <w:rPr>
          <w:sz w:val="20"/>
          <w:szCs w:val="20"/>
          <w:color w:val="auto"/>
        </w:rPr>
      </w:pPr>
    </w:p>
    <w:p>
      <w:pPr>
        <w:ind w:left="1304"/>
        <w:spacing w:after="0" w:line="281" w:lineRule="auto"/>
        <w:rPr>
          <w:sz w:val="20"/>
          <w:szCs w:val="20"/>
          <w:color w:val="auto"/>
        </w:rPr>
      </w:pPr>
      <w:r>
        <w:rPr>
          <w:rFonts w:ascii="Times New Roman" w:cs="Times New Roman" w:eastAsia="Times New Roman" w:hAnsi="Times New Roman"/>
          <w:sz w:val="17"/>
          <w:szCs w:val="17"/>
          <w:color w:val="auto"/>
        </w:rPr>
        <w:t>and, for greater clarity, the agreement may contain a right of first refusal or require a period of delay to give such Person an opportunity to at least match a higher price or value in another Take-over Bid or transaction or other similar limitation on a Locked-up Person’s right to withdraw Voting Shares from the agreement, so long as the limitation does not preclude the exercise by the Locked-up Person of the right to withdraw Voting Shares during the period of the other Take-over Bid or transaction; and</w:t>
      </w:r>
    </w:p>
    <w:p>
      <w:pPr>
        <w:spacing w:after="0" w:line="160" w:lineRule="exact"/>
        <w:rPr>
          <w:sz w:val="20"/>
          <w:szCs w:val="20"/>
          <w:color w:val="auto"/>
        </w:rPr>
      </w:pPr>
    </w:p>
    <w:p>
      <w:pPr>
        <w:ind w:left="1304" w:hanging="656"/>
        <w:spacing w:after="0"/>
        <w:tabs>
          <w:tab w:leader="none" w:pos="130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t>
      </w:r>
      <w:r>
        <w:rPr>
          <w:rFonts w:ascii="Times New Roman" w:cs="Times New Roman" w:eastAsia="Times New Roman" w:hAnsi="Times New Roman"/>
          <w:sz w:val="18"/>
          <w:szCs w:val="18"/>
          <w:b w:val="1"/>
          <w:bCs w:val="1"/>
          <w:color w:val="auto"/>
        </w:rPr>
        <w:t>break-up</w:t>
      </w:r>
      <w:r>
        <w:rPr>
          <w:rFonts w:ascii="Times New Roman" w:cs="Times New Roman" w:eastAsia="Times New Roman" w:hAnsi="Times New Roman"/>
          <w:sz w:val="18"/>
          <w:szCs w:val="18"/>
          <w:color w:val="auto"/>
        </w:rPr>
        <w:t>” fees, “</w:t>
      </w:r>
      <w:r>
        <w:rPr>
          <w:rFonts w:ascii="Times New Roman" w:cs="Times New Roman" w:eastAsia="Times New Roman" w:hAnsi="Times New Roman"/>
          <w:sz w:val="18"/>
          <w:szCs w:val="18"/>
          <w:b w:val="1"/>
          <w:bCs w:val="1"/>
          <w:color w:val="auto"/>
        </w:rPr>
        <w:t>top-up</w:t>
      </w:r>
      <w:r>
        <w:rPr>
          <w:rFonts w:ascii="Times New Roman" w:cs="Times New Roman" w:eastAsia="Times New Roman" w:hAnsi="Times New Roman"/>
          <w:sz w:val="18"/>
          <w:szCs w:val="18"/>
          <w:color w:val="auto"/>
        </w:rPr>
        <w:t>” fees, penalties, expenses or other amounts that exceed in aggregate the greater of:</w:t>
      </w:r>
    </w:p>
    <w:p>
      <w:pPr>
        <w:spacing w:after="0" w:line="229" w:lineRule="exact"/>
        <w:rPr>
          <w:rFonts w:ascii="Times New Roman" w:cs="Times New Roman" w:eastAsia="Times New Roman" w:hAnsi="Times New Roman"/>
          <w:sz w:val="18"/>
          <w:szCs w:val="18"/>
          <w:color w:val="auto"/>
        </w:rPr>
      </w:pPr>
    </w:p>
    <w:p>
      <w:pPr>
        <w:ind w:left="1944" w:right="300" w:hanging="648"/>
        <w:spacing w:after="0" w:line="282"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equivalent of 3% of the price or value of the consideration payable under the Lock-Up Bid to a Locked-Up Person; and</w:t>
      </w:r>
    </w:p>
    <w:p>
      <w:pPr>
        <w:spacing w:after="0" w:line="161" w:lineRule="exact"/>
        <w:rPr>
          <w:rFonts w:ascii="Times New Roman" w:cs="Times New Roman" w:eastAsia="Times New Roman" w:hAnsi="Times New Roman"/>
          <w:sz w:val="18"/>
          <w:szCs w:val="18"/>
          <w:color w:val="auto"/>
        </w:rPr>
      </w:pPr>
    </w:p>
    <w:p>
      <w:pPr>
        <w:jc w:val="both"/>
        <w:ind w:left="1944" w:right="320" w:hanging="648"/>
        <w:spacing w:after="0" w:line="266"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amount by which the price or value of the consideration received by a Locked-Up Person under another Take-over Bid or transaction exceeds the price or value of the consideration that the Locked-Up Person would have received under the Lock-Up Bid,</w:t>
      </w:r>
    </w:p>
    <w:p>
      <w:pPr>
        <w:spacing w:after="0" w:line="176" w:lineRule="exact"/>
        <w:rPr>
          <w:sz w:val="20"/>
          <w:szCs w:val="20"/>
          <w:color w:val="auto"/>
        </w:rPr>
      </w:pPr>
    </w:p>
    <w:p>
      <w:pPr>
        <w:ind w:left="1304" w:right="60"/>
        <w:spacing w:after="0" w:line="282" w:lineRule="auto"/>
        <w:rPr>
          <w:sz w:val="20"/>
          <w:szCs w:val="20"/>
          <w:color w:val="auto"/>
        </w:rPr>
      </w:pPr>
      <w:r>
        <w:rPr>
          <w:rFonts w:ascii="Times New Roman" w:cs="Times New Roman" w:eastAsia="Times New Roman" w:hAnsi="Times New Roman"/>
          <w:sz w:val="18"/>
          <w:szCs w:val="18"/>
          <w:color w:val="auto"/>
        </w:rPr>
        <w:t>shall be payable by such Locked-Up Person pursuant to the agreement if the Locked-Up Person fails to deposit or tender Voting Shares to the Lock-Up Bid, withdraws Voting Shares previously tendered thereto or supports another transaction;</w:t>
      </w:r>
    </w:p>
    <w:p>
      <w:pPr>
        <w:spacing w:after="0" w:line="158" w:lineRule="exact"/>
        <w:rPr>
          <w:sz w:val="20"/>
          <w:szCs w:val="20"/>
          <w:color w:val="auto"/>
        </w:rPr>
      </w:pPr>
    </w:p>
    <w:p>
      <w:pPr>
        <w:jc w:val="both"/>
        <w:ind w:left="644" w:right="400" w:hanging="644"/>
        <w:spacing w:after="0" w:line="268" w:lineRule="auto"/>
        <w:tabs>
          <w:tab w:leader="none" w:pos="6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include an individual, body corporate, firm, partnership, syndicate or other form of unincorporated association, trust, trustee, executor, administrator, legal personal representative, group, unincorporated organization, a government and its agencies or instrumentalities, or other entity whether or not having legal personality;</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3" w:right="359" w:bottom="1440" w:gutter="0" w:footer="0" w:header="0"/>
        </w:sectPr>
      </w:pPr>
    </w:p>
    <w:bookmarkStart w:id="89" w:name="page90"/>
    <w:bookmarkEnd w:id="89"/>
    <w:p>
      <w:pPr>
        <w:ind w:left="644" w:hanging="644"/>
        <w:spacing w:after="0"/>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Acquisition</w:t>
      </w:r>
      <w:r>
        <w:rPr>
          <w:rFonts w:ascii="Times New Roman" w:cs="Times New Roman" w:eastAsia="Times New Roman" w:hAnsi="Times New Roman"/>
          <w:sz w:val="18"/>
          <w:szCs w:val="18"/>
          <w:color w:val="auto"/>
        </w:rPr>
        <w:t>” shall mean an acquisition by a Person of Voting Shares pursuant to:</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Reinvestment Acquisition;</w:t>
      </w:r>
    </w:p>
    <w:p>
      <w:pPr>
        <w:spacing w:after="0" w:line="225" w:lineRule="exact"/>
        <w:rPr>
          <w:rFonts w:ascii="Times New Roman" w:cs="Times New Roman" w:eastAsia="Times New Roman" w:hAnsi="Times New Roman"/>
          <w:sz w:val="18"/>
          <w:szCs w:val="18"/>
          <w:color w:val="auto"/>
        </w:rPr>
      </w:pPr>
    </w:p>
    <w:p>
      <w:pPr>
        <w:ind w:left="1304" w:right="60" w:hanging="656"/>
        <w:spacing w:after="0" w:line="266" w:lineRule="auto"/>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dividend, stock split or other event in respect of securities of the Corporation of one or more particular classes or series pursuant to which such Person becomes the Beneficial Owner of Voting Shares on the same pro rata basis as all other holders of securities of the particular class, classes or series; or</w:t>
      </w:r>
    </w:p>
    <w:p>
      <w:pPr>
        <w:spacing w:after="0" w:line="175" w:lineRule="exact"/>
        <w:rPr>
          <w:rFonts w:ascii="Times New Roman" w:cs="Times New Roman" w:eastAsia="Times New Roman" w:hAnsi="Times New Roman"/>
          <w:sz w:val="18"/>
          <w:szCs w:val="18"/>
          <w:color w:val="auto"/>
        </w:rPr>
      </w:pPr>
    </w:p>
    <w:p>
      <w:pPr>
        <w:ind w:left="1304" w:right="80" w:hanging="656"/>
        <w:spacing w:after="0" w:line="261" w:lineRule="auto"/>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the exercise by the Person of rights to purchase Voting Shares issued by the Corporation to all holders of securities of the Corporation (other than holders resident in any jurisdiction where such issuance is restricted or impractical as a result of applicable law) of one or more particular classes or series pursuant to a rights offering provided that such rights are acquired directly from the Corporation and not from any other Person; or</w:t>
      </w:r>
    </w:p>
    <w:p>
      <w:pPr>
        <w:spacing w:after="0" w:line="179" w:lineRule="exact"/>
        <w:rPr>
          <w:rFonts w:ascii="Times New Roman" w:cs="Times New Roman" w:eastAsia="Times New Roman" w:hAnsi="Times New Roman"/>
          <w:sz w:val="18"/>
          <w:szCs w:val="18"/>
          <w:color w:val="auto"/>
        </w:rPr>
      </w:pPr>
    </w:p>
    <w:p>
      <w:pPr>
        <w:ind w:left="1304" w:right="80" w:hanging="656"/>
        <w:spacing w:after="0" w:line="282" w:lineRule="auto"/>
        <w:tabs>
          <w:tab w:leader="none" w:pos="13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Voting Shares or of Convertible Securities made pursuant to a prospectus or by way of a private placement or a conversion or exchange of any Convertible Security;</w:t>
      </w:r>
    </w:p>
    <w:p>
      <w:pPr>
        <w:spacing w:after="0" w:line="162" w:lineRule="exact"/>
        <w:rPr>
          <w:sz w:val="20"/>
          <w:szCs w:val="20"/>
          <w:color w:val="auto"/>
        </w:rPr>
      </w:pPr>
    </w:p>
    <w:p>
      <w:pPr>
        <w:ind w:left="644" w:right="140"/>
        <w:spacing w:after="0" w:line="282" w:lineRule="auto"/>
        <w:rPr>
          <w:sz w:val="20"/>
          <w:szCs w:val="20"/>
          <w:color w:val="auto"/>
        </w:rPr>
      </w:pPr>
      <w:r>
        <w:rPr>
          <w:rFonts w:ascii="Times New Roman" w:cs="Times New Roman" w:eastAsia="Times New Roman" w:hAnsi="Times New Roman"/>
          <w:sz w:val="18"/>
          <w:szCs w:val="18"/>
          <w:color w:val="auto"/>
        </w:rPr>
        <w:t>provided, however, that such Person does not thereby acquire a greater percentage of such Voting Shares or of Convertible Securities so offered than such Person’s percentage of Voting Shares Beneficially Owned immediately prior to such acquisition;</w:t>
      </w:r>
    </w:p>
    <w:p>
      <w:pPr>
        <w:spacing w:after="0" w:line="158" w:lineRule="exact"/>
        <w:rPr>
          <w:sz w:val="20"/>
          <w:szCs w:val="20"/>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Time</w:t>
      </w:r>
      <w:r>
        <w:rPr>
          <w:rFonts w:ascii="Times New Roman" w:cs="Times New Roman" w:eastAsia="Times New Roman" w:hAnsi="Times New Roman"/>
          <w:sz w:val="18"/>
          <w:szCs w:val="18"/>
          <w:color w:val="auto"/>
        </w:rPr>
        <w:t>” shall have the meaning set forth in the recitals hereto;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shall have the meaning attributed thereto in Subsection 5.1(a);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shall mean a right to purchase a Common Share, upon the terms and subject to the conditions set forth in this Agreement;</w:t>
      </w:r>
    </w:p>
    <w:p>
      <w:pPr>
        <w:spacing w:after="0" w:line="225" w:lineRule="exact"/>
        <w:rPr>
          <w:rFonts w:ascii="Times New Roman" w:cs="Times New Roman" w:eastAsia="Times New Roman" w:hAnsi="Times New Roman"/>
          <w:sz w:val="18"/>
          <w:szCs w:val="18"/>
          <w:color w:val="auto"/>
        </w:rPr>
      </w:pPr>
    </w:p>
    <w:p>
      <w:pPr>
        <w:ind w:left="644" w:right="180" w:hanging="644"/>
        <w:spacing w:after="0" w:line="286" w:lineRule="auto"/>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shall mean a certificate representing the Rights after the Separation Time, which shall be substantially in the form attached hereto as Attachment 1;</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shall have the meaning set forth in the recitals hereto;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Register</w:t>
      </w:r>
      <w:r>
        <w:rPr>
          <w:rFonts w:ascii="Times New Roman" w:cs="Times New Roman" w:eastAsia="Times New Roman" w:hAnsi="Times New Roman"/>
          <w:sz w:val="18"/>
          <w:szCs w:val="18"/>
          <w:color w:val="auto"/>
        </w:rPr>
        <w:t>” shall have the meaning ascribed thereto in Subsection 2.6(a)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Time</w:t>
      </w:r>
      <w:r>
        <w:rPr>
          <w:rFonts w:ascii="Times New Roman" w:cs="Times New Roman" w:eastAsia="Times New Roman" w:hAnsi="Times New Roman"/>
          <w:sz w:val="18"/>
          <w:szCs w:val="18"/>
          <w:color w:val="auto"/>
        </w:rPr>
        <w:t>” shall mean, subject to Subsection 5.1(d), the close of business on the tenth Trading Day after the earlier of:</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Acquisition Date;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commencement of or first public announcement of the current intention of any Person (other than the Corporation or any Subsidiary of the Corporation) to commence a Take-over Bid (other than a Permitted Bid or a Competing Permitted Bid); and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Permitted Bid or Competing Permitted Bid ceases to qualify as such;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or such later time as may be determined by the Board of Directors, provided that, if any Take-over Bid referred to in Subsection 1.1(uu)</w:t>
      </w:r>
    </w:p>
    <w:p>
      <w:pPr>
        <w:spacing w:after="0" w:line="27" w:lineRule="exact"/>
        <w:rPr>
          <w:sz w:val="20"/>
          <w:szCs w:val="20"/>
          <w:color w:val="auto"/>
        </w:rPr>
      </w:pPr>
    </w:p>
    <w:p>
      <w:pPr>
        <w:ind w:left="644" w:right="20"/>
        <w:spacing w:after="0" w:line="253" w:lineRule="auto"/>
        <w:rPr>
          <w:sz w:val="20"/>
          <w:szCs w:val="20"/>
          <w:color w:val="auto"/>
        </w:rPr>
      </w:pPr>
      <w:r>
        <w:rPr>
          <w:rFonts w:ascii="Times New Roman" w:cs="Times New Roman" w:eastAsia="Times New Roman" w:hAnsi="Times New Roman"/>
          <w:sz w:val="18"/>
          <w:szCs w:val="18"/>
          <w:color w:val="auto"/>
        </w:rPr>
        <w:t>(ii) above expires, is not made, is cancelled, terminated or otherwise withdrawn prior to the Separation Time, such Take-over Bid shall be deemed, for the purposes of this definition, never to have been commenced, made or announced and further provided that if the Board of Directors determines, pursuant to Section 5.1, to waive the application of Section 3.1 to a Flip-in Event, then the Separation Time in respect of such Flip-in Event shall be deemed never to have occurred and further provided that if the foregoing results in the Separation Time being prior to the Record Time, the Separation Time shall be the Record Time;</w:t>
      </w:r>
    </w:p>
    <w:p>
      <w:pPr>
        <w:spacing w:after="0" w:line="182" w:lineRule="exact"/>
        <w:rPr>
          <w:sz w:val="20"/>
          <w:szCs w:val="20"/>
          <w:color w:val="auto"/>
        </w:rPr>
      </w:pPr>
    </w:p>
    <w:p>
      <w:pPr>
        <w:jc w:val="both"/>
        <w:ind w:left="644" w:right="100" w:hanging="644"/>
        <w:spacing w:after="0" w:line="262" w:lineRule="auto"/>
        <w:tabs>
          <w:tab w:leader="none" w:pos="6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 Date</w:t>
      </w:r>
      <w:r>
        <w:rPr>
          <w:rFonts w:ascii="Times New Roman" w:cs="Times New Roman" w:eastAsia="Times New Roman" w:hAnsi="Times New Roman"/>
          <w:sz w:val="18"/>
          <w:szCs w:val="18"/>
          <w:color w:val="auto"/>
        </w:rPr>
        <w:t xml:space="preserve">” shall mean the first date of public announcement or disclosure by the Corporation or an Acquiring Person of facts indicating that a Person has become an Acquiring Person which for the purposes of this definition shall include, without limitation, a report filed pursuant to Part 5 of NI 62-104, Section 4.5 of National Instrument 62-103 –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or Section 13(d) of the 1934 Exchange Act announcing or disclosing such information;</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3" w:right="359" w:bottom="1440" w:gutter="0" w:footer="0" w:header="0"/>
        </w:sectPr>
      </w:pPr>
    </w:p>
    <w:bookmarkStart w:id="90" w:name="page91"/>
    <w:bookmarkEnd w:id="90"/>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 Person is a Subsidiary of another Person if:</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controlled by: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and one or more Persons each of which is controlled by that other;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each of which is controlled by that other;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Subsidiary of a Person that is that other’s Subsidiary;</w:t>
      </w:r>
    </w:p>
    <w:p>
      <w:pPr>
        <w:spacing w:after="0" w:line="221" w:lineRule="exact"/>
        <w:rPr>
          <w:rFonts w:ascii="Times New Roman" w:cs="Times New Roman" w:eastAsia="Times New Roman" w:hAnsi="Times New Roman"/>
          <w:sz w:val="18"/>
          <w:szCs w:val="18"/>
          <w:color w:val="auto"/>
        </w:rPr>
      </w:pPr>
    </w:p>
    <w:p>
      <w:pPr>
        <w:ind w:left="1300" w:hanging="644"/>
        <w:spacing w:after="0" w:line="26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Bid</w:t>
      </w:r>
      <w:r>
        <w:rPr>
          <w:rFonts w:ascii="Times New Roman" w:cs="Times New Roman" w:eastAsia="Times New Roman" w:hAnsi="Times New Roman"/>
          <w:sz w:val="18"/>
          <w:szCs w:val="18"/>
          <w:color w:val="auto"/>
        </w:rPr>
        <w:t>” shall mean an Offer to Acquire Voting Shares or Convertible Securities, if, assuming that the Voting Shares or Convertible Securities subject to the Offer to Acquire are acquired and are Beneficially Owned at the date of such Offer to Acquire by the Person making such Offer to Acquire, the Voting Shares Beneficially Owned by the Person making the Offer to Acquire would constitute in the aggregate 20% or more of the outstanding Voting Shares at the date of the Offer to Acquire;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Time</w:t>
      </w:r>
      <w:r>
        <w:rPr>
          <w:rFonts w:ascii="Times New Roman" w:cs="Times New Roman" w:eastAsia="Times New Roman" w:hAnsi="Times New Roman"/>
          <w:sz w:val="18"/>
          <w:szCs w:val="18"/>
          <w:color w:val="auto"/>
        </w:rPr>
        <w:t>” shall mean the time at which the right to exercise Rights shall terminate pursuant to Section 5.1(g);</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6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when used with respect to any securities, shall mean a day on which the securities exchange or national securities quotation system on which such securities are listed or admitted to trading on which the largest number of such securities were traded during the most recently completed calendar year is open for the transaction of business or, if the securities are not listed or admitted to trading on any securities exchange, a Business Day;</w:t>
      </w:r>
    </w:p>
    <w:p>
      <w:pPr>
        <w:spacing w:after="0" w:line="176"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 Canadian Exchange Rate</w:t>
      </w:r>
      <w:r>
        <w:rPr>
          <w:rFonts w:ascii="Times New Roman" w:cs="Times New Roman" w:eastAsia="Times New Roman" w:hAnsi="Times New Roman"/>
          <w:sz w:val="18"/>
          <w:szCs w:val="18"/>
          <w:color w:val="auto"/>
        </w:rPr>
        <w:t>” on any date shall mean:</w:t>
      </w:r>
    </w:p>
    <w:p>
      <w:pPr>
        <w:spacing w:after="0" w:line="229" w:lineRule="exact"/>
        <w:rPr>
          <w:rFonts w:ascii="Times New Roman" w:cs="Times New Roman" w:eastAsia="Times New Roman" w:hAnsi="Times New Roman"/>
          <w:sz w:val="18"/>
          <w:szCs w:val="18"/>
          <w:color w:val="auto"/>
        </w:rPr>
      </w:pPr>
    </w:p>
    <w:p>
      <w:pPr>
        <w:ind w:left="1960" w:right="300" w:hanging="656"/>
        <w:spacing w:after="0" w:line="282" w:lineRule="auto"/>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Bank of Canada sets an average noon spot rate of exchange for the conversion of one United States dollar into Canadian dollars, such rate; and</w:t>
      </w:r>
    </w:p>
    <w:p>
      <w:pPr>
        <w:spacing w:after="0" w:line="161"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rate for such date for the conversion of one United States dollar into Canadian dollars which is calculated in the manner which shall be determined by the Board of Directors from time to time acting in good faith;</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 Equivalent</w:t>
      </w:r>
      <w:r>
        <w:rPr>
          <w:rFonts w:ascii="Times New Roman" w:cs="Times New Roman" w:eastAsia="Times New Roman" w:hAnsi="Times New Roman"/>
          <w:sz w:val="18"/>
          <w:szCs w:val="18"/>
          <w:color w:val="auto"/>
        </w:rPr>
        <w:t>” of any amount which is expressed in Canadian dollars means on any day the United States dollar equivalent of such amount determined by reference to the U.S.-Canadian Exchange Rate in effect on such date;</w:t>
      </w:r>
    </w:p>
    <w:p>
      <w:pPr>
        <w:spacing w:after="0" w:line="154" w:lineRule="exact"/>
        <w:rPr>
          <w:rFonts w:ascii="Times New Roman" w:cs="Times New Roman" w:eastAsia="Times New Roman" w:hAnsi="Times New Roman"/>
          <w:sz w:val="18"/>
          <w:szCs w:val="18"/>
          <w:color w:val="auto"/>
        </w:rPr>
      </w:pPr>
    </w:p>
    <w:p>
      <w:pPr>
        <w:ind w:left="1300" w:right="60" w:hanging="644"/>
        <w:spacing w:after="0" w:line="268"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Share Reduction</w:t>
      </w:r>
      <w:r>
        <w:rPr>
          <w:rFonts w:ascii="Times New Roman" w:cs="Times New Roman" w:eastAsia="Times New Roman" w:hAnsi="Times New Roman"/>
          <w:sz w:val="18"/>
          <w:szCs w:val="18"/>
          <w:color w:val="auto"/>
        </w:rPr>
        <w:t>” shall mean an acquisition or redemption by the Corporation of Voting Shares which, by reducing the number of Voting Shares outstanding, increases the percentage of outstanding Voting Shares Beneficially Owned by any Person to 20% or more of the Voting Shares then outstanding;</w:t>
      </w:r>
    </w:p>
    <w:p>
      <w:pPr>
        <w:spacing w:after="0" w:line="170" w:lineRule="exact"/>
        <w:rPr>
          <w:rFonts w:ascii="Times New Roman" w:cs="Times New Roman" w:eastAsia="Times New Roman" w:hAnsi="Times New Roman"/>
          <w:sz w:val="18"/>
          <w:szCs w:val="18"/>
          <w:color w:val="auto"/>
        </w:rPr>
      </w:pPr>
    </w:p>
    <w:p>
      <w:pPr>
        <w:ind w:left="1300" w:right="220" w:hanging="644"/>
        <w:spacing w:after="0" w:line="28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Shares</w:t>
      </w:r>
      <w:r>
        <w:rPr>
          <w:rFonts w:ascii="Times New Roman" w:cs="Times New Roman" w:eastAsia="Times New Roman" w:hAnsi="Times New Roman"/>
          <w:sz w:val="18"/>
          <w:szCs w:val="18"/>
          <w:color w:val="auto"/>
        </w:rPr>
        <w:t>” shall mean the Common Shares and any other shares in the capital of the Corporation entitled to vote generally in the election of all directors;</w:t>
      </w:r>
    </w:p>
    <w:p>
      <w:pPr>
        <w:spacing w:after="0" w:line="154" w:lineRule="exact"/>
        <w:rPr>
          <w:rFonts w:ascii="Times New Roman" w:cs="Times New Roman" w:eastAsia="Times New Roman" w:hAnsi="Times New Roman"/>
          <w:sz w:val="18"/>
          <w:szCs w:val="18"/>
          <w:color w:val="auto"/>
        </w:rPr>
      </w:pPr>
    </w:p>
    <w:p>
      <w:pPr>
        <w:ind w:left="1300" w:right="140" w:hanging="644"/>
        <w:spacing w:after="0" w:line="28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Securities Act</w:t>
      </w:r>
      <w:r>
        <w:rPr>
          <w:rFonts w:ascii="Times New Roman" w:cs="Times New Roman" w:eastAsia="Times New Roman" w:hAnsi="Times New Roman"/>
          <w:sz w:val="18"/>
          <w:szCs w:val="18"/>
          <w:color w:val="auto"/>
        </w:rPr>
        <w:t>” means the Securities Act of 1933 of the United States, as amended, and the rules and regulations thereunder, and any comparable or successor laws or regulations thereto; and</w:t>
      </w:r>
    </w:p>
    <w:p>
      <w:pPr>
        <w:spacing w:after="0" w:line="154" w:lineRule="exact"/>
        <w:rPr>
          <w:rFonts w:ascii="Times New Roman" w:cs="Times New Roman" w:eastAsia="Times New Roman" w:hAnsi="Times New Roman"/>
          <w:sz w:val="18"/>
          <w:szCs w:val="18"/>
          <w:color w:val="auto"/>
        </w:rPr>
      </w:pPr>
    </w:p>
    <w:p>
      <w:pPr>
        <w:ind w:left="1300" w:right="540" w:hanging="644"/>
        <w:spacing w:after="0" w:line="28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Exchange Act</w:t>
      </w:r>
      <w:r>
        <w:rPr>
          <w:rFonts w:ascii="Times New Roman" w:cs="Times New Roman" w:eastAsia="Times New Roman" w:hAnsi="Times New Roman"/>
          <w:sz w:val="18"/>
          <w:szCs w:val="18"/>
          <w:color w:val="auto"/>
        </w:rPr>
        <w:t>” means the Securities Exchange Act of 1934 of the United States, as amended, and the rules and regulations thereunder, and any comparable or successor laws or regulations thereto.</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sums of money which are referred to in this Agreement are expressed in lawful money of Canada, unless otherwise specified.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Number and Gender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Wherever the context will require, terms (including defined terms) used herein importing the singular number only shall include the plural and vice versa and words importing any one gender shall include all others.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division of this Agreement into Articles, Sections, Subsections, Paragraphs, Subparagraphs or other portions hereof and the insertion of headings, subheadings and a table of contents are for convenience of reference only and shall not affect the construction or interpretation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1" w:name="page92"/>
    <w:bookmarkEnd w:id="9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Statutory References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any reference to a specific section, subsection, clause or rule of any act or regulation shall be deemed to refer to the same as it may be amended, reenacted or replaced or, if repealed and there shall be no replacement therefor, to the same as it is in effect on the date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Calculation of Number and Percentage of Beneficial Ownership of Outstanding Voting Shares</w:t>
      </w:r>
    </w:p>
    <w:p>
      <w:pPr>
        <w:spacing w:after="0" w:line="229" w:lineRule="exact"/>
        <w:rPr>
          <w:sz w:val="20"/>
          <w:szCs w:val="20"/>
          <w:color w:val="auto"/>
        </w:rPr>
      </w:pPr>
    </w:p>
    <w:p>
      <w:pPr>
        <w:jc w:val="both"/>
        <w:ind w:left="1300" w:right="440" w:hanging="644"/>
        <w:spacing w:after="0" w:line="26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in determining the percentage of outstanding Voting Shares with respect to which a Person is or is deemed to be the Beneficial Owner, all unissued Voting Shares of which such Person is deemed to be the Beneficial Owner shall be deemed to be outstanding.</w:t>
      </w:r>
    </w:p>
    <w:p>
      <w:pPr>
        <w:spacing w:after="0" w:line="17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percentage of Voting Shares Beneficially Owned by any Person shall be and be deemed to be the product (expressed as a percentage) determined by the formula:</w:t>
      </w:r>
    </w:p>
    <w:p>
      <w:pPr>
        <w:spacing w:after="0" w:line="161" w:lineRule="exact"/>
        <w:rPr>
          <w:rFonts w:ascii="Times New Roman" w:cs="Times New Roman" w:eastAsia="Times New Roman" w:hAnsi="Times New Roman"/>
          <w:sz w:val="18"/>
          <w:szCs w:val="18"/>
          <w:color w:val="auto"/>
        </w:rPr>
      </w:pPr>
    </w:p>
    <w:p>
      <w:pPr>
        <w:ind w:left="1300" w:right="9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x A/B where:</w:t>
      </w:r>
    </w:p>
    <w:p>
      <w:pPr>
        <w:spacing w:after="0" w:line="1" w:lineRule="exact"/>
        <w:rPr>
          <w:rFonts w:ascii="Times New Roman" w:cs="Times New Roman" w:eastAsia="Times New Roman" w:hAnsi="Times New Roman"/>
          <w:sz w:val="18"/>
          <w:szCs w:val="18"/>
          <w:color w:val="auto"/>
        </w:rPr>
      </w:pPr>
    </w:p>
    <w:p>
      <w:pPr>
        <w:ind w:left="130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the number of votes for the election of directors of the Corporation generally attaching to the Voting Shares Beneficially Owned by such Person; and</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the number of votes for the election of directors of the Corporation generally attaching to all outstanding Voting Shares.</w:t>
      </w:r>
    </w:p>
    <w:p>
      <w:pPr>
        <w:spacing w:after="0" w:line="225"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 xml:space="preserve">The percentage of outstanding Voting Shares represented by any particular group of Voting Shares acquired or held by any Person shall be determined in like manner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Acting Jointly or in Concert</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For purposes of this Agreement a Person is acting jointly or in concert with every Person who is a party to an agreement, commitment, arrangement or understanding, whether formal or informal or written or unwritten, with the first Person to acquire or Offer to Acquire any Voting Shares or Convertible Securities (other than: (a) customary agreements with and between underwriters and/or banking group members and/or selling group members with respect to a distribution of securities by the Corporation; (b) pledges of securities in the ordinary course of business; and (c) Permitted Lock-Up Agreements).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RIGHTS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Legend on Share Certificates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Certificates representing Voting Shares which are issued after the Record Time but prior to the earlier of the Separation Time and the Expiration Time, shall also evidence one Right for each Voting Share represented thereby until the earlier of the Separation Time or the Expiration Time and shall have impressed on, printed on, written on or otherwise affixed to them the following legend:</w:t>
      </w:r>
    </w:p>
    <w:p>
      <w:pPr>
        <w:spacing w:after="0" w:line="174"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i w:val="1"/>
          <w:iCs w:val="1"/>
          <w:color w:val="auto"/>
        </w:rPr>
        <w:t>Until the earlier of the Separation Time or the Expiration Time (as both terms are defined in the Shareholder Rights Agreement referred to below), this certificate also evidences and entitles the holder hereof to certain Rights as set forth in a Shareholder Rights Plan Agreement dated as of July 24, 2024, as may be amended or supplemented from time to time (the “Shareholder Rights Agreement”), between Bitfarms Ltd. (the “Corporation”) and TSX Trust Company, as Rights Agent, the terms of which are incorporated herein by reference and a copy of which is on file at the principal executive offices of the Corporation. Under certain circumstances set out in the Shareholder Rights Agreement, the Rights may be amended or redeemed, may expire or may become void (if, in certain cases they are “Beneficially Owned” by an “Acquiring Person” as such terms are defined in the Shareholder Rights Agreement, whether currently held by or on behalf of such Person or a subsequent holder)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Initial Exercise Price; Exercise of Rights; Detachment of Rights</w:t>
      </w:r>
    </w:p>
    <w:p>
      <w:pPr>
        <w:spacing w:after="0" w:line="229" w:lineRule="exact"/>
        <w:rPr>
          <w:sz w:val="20"/>
          <w:szCs w:val="20"/>
          <w:color w:val="auto"/>
        </w:rPr>
      </w:pPr>
    </w:p>
    <w:p>
      <w:pPr>
        <w:ind w:left="1300" w:right="140" w:hanging="644"/>
        <w:spacing w:after="0" w:line="258"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herein set forth, each Right will entitle the holder thereof, from and after the Separation Time and prior to the Expiration Time, to purchase one Common Share for the Exercise Price, or its U.S. Dollar Equivalent, as at the Business Day immediately preceding the Separation Time (which Exercise Price and number of Common Shares are subject to adjustment as set forth below). Notwithstanding any other provision of this Agreement, any Rights held by the Corporation or any of its Subsidiaries shall be void.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2" w:name="page93"/>
    <w:bookmarkEnd w:id="92"/>
    <w:p>
      <w:pPr>
        <w:ind w:left="644" w:hanging="644"/>
        <w:spacing w:after="0"/>
        <w:tabs>
          <w:tab w:leader="none" w:pos="6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shall not be exercisable and no Right may be exercised; and</w:t>
      </w:r>
    </w:p>
    <w:p>
      <w:pPr>
        <w:spacing w:after="0" w:line="225" w:lineRule="exact"/>
        <w:rPr>
          <w:rFonts w:ascii="Times New Roman" w:cs="Times New Roman" w:eastAsia="Times New Roman" w:hAnsi="Times New Roman"/>
          <w:sz w:val="18"/>
          <w:szCs w:val="18"/>
          <w:color w:val="auto"/>
        </w:rPr>
      </w:pPr>
    </w:p>
    <w:p>
      <w:pPr>
        <w:ind w:left="1304" w:right="60" w:hanging="656"/>
        <w:spacing w:after="0" w:line="266" w:lineRule="auto"/>
        <w:tabs>
          <w:tab w:leader="none" w:pos="13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will be evidenced by the certificate for the associated Voting Share registered in the name of the holder thereof (which certificate shall also be deemed to represent a Rights Certificate) and will be transferable only together with, and will be transferred by a transfer of, such associated Voting Share.</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and prior to the Expiration Time: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shall be exercisable;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and transfer of Rights shall be separate from and independent of Voting Shares.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Promptly following the Separation Time, the Corporation will prepare or cause to be prepared and the Rights Agent will, as soon as</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reasonably practicable, mail to each holder of record of Voting Shares as of the Separation Time and, in respect of each Convertible</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Security converted into Voting Shares after the Separation Time and prior to the Expiration Time, promptly after such conversion, the</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Corporation will prepare or cause to be prepared and the Rights Agent will mail to the holder so converting (other than in either case a</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person indicated by the Corporation in writing to be an Acquiring Person and any Transferee whose rights are or become null and void</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pursuant to Section 3.1(b) and, in respect of any Rights Beneficially Owned by such Acquiring Person or Transferee which are not held</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of record by such Acquiring Person or Transferee, the holder of record of such Rights as indicated by the Corporation in writing (a</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at such holder’s address as shown by the records of the Corporation (the Corporation hereby agreeing to furnish copies of</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such records to the Rights Agent for this purpose):</w:t>
      </w:r>
    </w:p>
    <w:p>
      <w:pPr>
        <w:spacing w:after="0" w:line="207" w:lineRule="exact"/>
        <w:rPr>
          <w:sz w:val="20"/>
          <w:szCs w:val="20"/>
          <w:color w:val="auto"/>
        </w:rPr>
      </w:pPr>
    </w:p>
    <w:p>
      <w:pPr>
        <w:ind w:left="1304" w:hanging="656"/>
        <w:spacing w:after="0" w:line="256" w:lineRule="auto"/>
        <w:tabs>
          <w:tab w:leader="none" w:pos="13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Certificate appropriately completed, representing the number of Rights held by such holder at the Separation Time or at the time of conversion, as applicable,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judicial or administrative order made pursuant thereto or with any rule or regulation of any self-regulatory organization, stock exchange or quotation system on which the Rights may from time to time be listed or traded, or to conform to usage; and</w:t>
      </w:r>
    </w:p>
    <w:p>
      <w:pPr>
        <w:spacing w:after="0" w:line="18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statement prepared by the Corporation describing the Rights,</w:t>
      </w:r>
    </w:p>
    <w:p>
      <w:pPr>
        <w:spacing w:after="0" w:line="225" w:lineRule="exact"/>
        <w:rPr>
          <w:sz w:val="20"/>
          <w:szCs w:val="20"/>
          <w:color w:val="auto"/>
        </w:rPr>
      </w:pPr>
    </w:p>
    <w:p>
      <w:pPr>
        <w:ind w:left="644" w:right="280"/>
        <w:spacing w:after="0" w:line="261" w:lineRule="auto"/>
        <w:rPr>
          <w:sz w:val="20"/>
          <w:szCs w:val="20"/>
          <w:color w:val="auto"/>
        </w:rPr>
      </w:pPr>
      <w:r>
        <w:rPr>
          <w:rFonts w:ascii="Times New Roman" w:cs="Times New Roman" w:eastAsia="Times New Roman" w:hAnsi="Times New Roman"/>
          <w:sz w:val="18"/>
          <w:szCs w:val="18"/>
          <w:color w:val="auto"/>
        </w:rPr>
        <w:t>provided that a Nominee shall be sent the materials provided for in (x) and (y) only in respect of all Voting Shares held of record by it which are not Beneficially Owned by an Acquiring Person. In order for the Corporation to determine whether any Person is holding Voting Shares which are Beneficially Owned by another Person, the Corporation may require such first Person to furnish such information and documentation as the Corporation deems necessary.</w:t>
      </w:r>
    </w:p>
    <w:p>
      <w:pPr>
        <w:spacing w:after="0" w:line="180" w:lineRule="exact"/>
        <w:rPr>
          <w:sz w:val="20"/>
          <w:szCs w:val="20"/>
          <w:color w:val="auto"/>
        </w:rPr>
      </w:pPr>
    </w:p>
    <w:p>
      <w:pPr>
        <w:ind w:left="644" w:right="200" w:hanging="644"/>
        <w:spacing w:after="0" w:line="266" w:lineRule="auto"/>
        <w:tabs>
          <w:tab w:leader="none" w:pos="6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may be exercised, in whole or in part, on any Business Day after the Separation Time and prior to the Expiration Time by submitting to the Rights Agent at its office in Toronto, Canada or any other office of the Rights Agent in cities designated from time to time for that purpose by the Corporation with the approval of the Rights Agent: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 evidencing such Rights;</w:t>
      </w:r>
    </w:p>
    <w:p>
      <w:pPr>
        <w:spacing w:after="0" w:line="221" w:lineRule="exact"/>
        <w:rPr>
          <w:rFonts w:ascii="Times New Roman" w:cs="Times New Roman" w:eastAsia="Times New Roman" w:hAnsi="Times New Roman"/>
          <w:sz w:val="18"/>
          <w:szCs w:val="18"/>
          <w:color w:val="auto"/>
        </w:rPr>
      </w:pPr>
    </w:p>
    <w:p>
      <w:pPr>
        <w:ind w:left="1304" w:right="360" w:hanging="656"/>
        <w:spacing w:after="0" w:line="262" w:lineRule="auto"/>
        <w:tabs>
          <w:tab w:leader="none" w:pos="130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exercise such Rights (an “</w:t>
      </w:r>
      <w:r>
        <w:rPr>
          <w:rFonts w:ascii="Times New Roman" w:cs="Times New Roman" w:eastAsia="Times New Roman" w:hAnsi="Times New Roman"/>
          <w:sz w:val="18"/>
          <w:szCs w:val="18"/>
          <w:b w:val="1"/>
          <w:bCs w:val="1"/>
          <w:color w:val="auto"/>
        </w:rPr>
        <w:t>Election to Exercise</w:t>
      </w:r>
      <w:r>
        <w:rPr>
          <w:rFonts w:ascii="Times New Roman" w:cs="Times New Roman" w:eastAsia="Times New Roman" w:hAnsi="Times New Roman"/>
          <w:sz w:val="18"/>
          <w:szCs w:val="18"/>
          <w:color w:val="auto"/>
        </w:rPr>
        <w:t>”) substantially in the form attached to the Rights Certificate appropriately completed and duly executed by the holder or such holder’s executors or administrators or other personal representatives or such holder’s or their legal attorney duly appointed by an instrument in writing in form and executed in a manner satisfactory to the Rights Agent; and</w:t>
      </w:r>
    </w:p>
    <w:p>
      <w:pPr>
        <w:spacing w:after="0" w:line="180" w:lineRule="exact"/>
        <w:rPr>
          <w:rFonts w:ascii="Times New Roman" w:cs="Times New Roman" w:eastAsia="Times New Roman" w:hAnsi="Times New Roman"/>
          <w:sz w:val="18"/>
          <w:szCs w:val="18"/>
          <w:color w:val="auto"/>
        </w:rPr>
      </w:pPr>
    </w:p>
    <w:p>
      <w:pPr>
        <w:ind w:left="1304" w:right="40" w:hanging="656"/>
        <w:spacing w:after="0" w:line="261" w:lineRule="auto"/>
        <w:tabs>
          <w:tab w:leader="none" w:pos="130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certified cheque, banker’s draft, money order or wire transfer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37" w:right="379" w:bottom="1440" w:gutter="0" w:footer="0" w:header="0"/>
        </w:sectPr>
      </w:pPr>
    </w:p>
    <w:bookmarkStart w:id="93" w:name="page94"/>
    <w:bookmarkEnd w:id="93"/>
    <w:p>
      <w:pPr>
        <w:ind w:left="1300" w:right="160" w:hanging="644"/>
        <w:spacing w:after="0" w:line="261"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together with a completed Election to Exercise executed in accordance with Subsection 2.2(d)(ii), which does not indicate that such Right is null and void as provided by Subsection 3.1(b), and payment as set forth in Subsection 2.2(d) (iii), the Rights Agent (unless otherwise instructed by the Corporation in the event that the Corporation is of the opinion that the Rights cannot be exercised in accordance with this Agreement) will thereupon as soon as practicable:</w:t>
      </w:r>
    </w:p>
    <w:p>
      <w:pPr>
        <w:spacing w:after="0" w:line="179" w:lineRule="exact"/>
        <w:rPr>
          <w:rFonts w:ascii="Times New Roman" w:cs="Times New Roman" w:eastAsia="Times New Roman" w:hAnsi="Times New Roman"/>
          <w:sz w:val="18"/>
          <w:szCs w:val="18"/>
          <w:color w:val="auto"/>
        </w:rPr>
      </w:pPr>
    </w:p>
    <w:p>
      <w:pPr>
        <w:ind w:left="1960" w:right="880" w:hanging="656"/>
        <w:spacing w:after="0" w:line="282" w:lineRule="auto"/>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requisition from the transfer agent certificates representing the number of such Common Shares to be purchased (the Corporation hereby irrevocably authorizing its transfer agent to comply with all such requisitions);</w:t>
      </w:r>
    </w:p>
    <w:p>
      <w:pPr>
        <w:spacing w:after="0" w:line="161"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requisition from the Corporation the amount of cash, if any, to be paid in lieu of issuing fractional Common Shares;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the certificates referred to in Subsection 2.2(e)(i), deliver the same to or upon the order of the registered holder of such Rights Certificates, registered in such name or names as may be designated by such holder;</w:t>
      </w:r>
    </w:p>
    <w:p>
      <w:pPr>
        <w:spacing w:after="0" w:line="161" w:lineRule="exact"/>
        <w:rPr>
          <w:rFonts w:ascii="Times New Roman" w:cs="Times New Roman" w:eastAsia="Times New Roman" w:hAnsi="Times New Roman"/>
          <w:sz w:val="18"/>
          <w:szCs w:val="18"/>
          <w:color w:val="auto"/>
        </w:rPr>
      </w:pPr>
    </w:p>
    <w:p>
      <w:pPr>
        <w:ind w:left="1960" w:right="160" w:hanging="656"/>
        <w:spacing w:after="0" w:line="282" w:lineRule="auto"/>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after receipt, deliver the cash referred to in Subsection 2.2(e)(ii) to or to the order of the registered holder of such Rights Certificate;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to the Corporation all payments received on the exercise of Rights.</w:t>
      </w:r>
    </w:p>
    <w:p>
      <w:pPr>
        <w:spacing w:after="0" w:line="225"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For greater certainty, unless the Rights Agent shall have been notified in accordance with Subsection 2.3(j) hereof, it shall be entitled to assume that there has been no adjustment to the Exercise Price or the number of Rights.</w:t>
      </w:r>
    </w:p>
    <w:p>
      <w:pPr>
        <w:spacing w:after="0" w:line="162" w:lineRule="exact"/>
        <w:rPr>
          <w:sz w:val="20"/>
          <w:szCs w:val="20"/>
          <w:color w:val="auto"/>
        </w:rPr>
      </w:pPr>
    </w:p>
    <w:p>
      <w:pPr>
        <w:ind w:left="1300" w:right="400" w:hanging="644"/>
        <w:spacing w:after="0" w:line="266"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and agrees that it will:</w:t>
      </w:r>
    </w:p>
    <w:p>
      <w:pPr>
        <w:spacing w:after="0" w:line="225"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to be reserved and kept available out of its authorized and unissued Common Shares the number of Common Shares that, as provided in this Agreement, will from time to time be sufficient to permit the exercise in full of all outstanding Rights;</w:t>
      </w:r>
    </w:p>
    <w:p>
      <w:pPr>
        <w:spacing w:after="0" w:line="161" w:lineRule="exact"/>
        <w:rPr>
          <w:rFonts w:ascii="Times New Roman" w:cs="Times New Roman" w:eastAsia="Times New Roman" w:hAnsi="Times New Roman"/>
          <w:sz w:val="18"/>
          <w:szCs w:val="18"/>
          <w:color w:val="auto"/>
        </w:rPr>
      </w:pPr>
    </w:p>
    <w:p>
      <w:pPr>
        <w:ind w:left="1960" w:right="240" w:hanging="656"/>
        <w:spacing w:after="0" w:line="266" w:lineRule="auto"/>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and within its power to ensure that all Common Shares delivered upon exercise of Rights shall, at the time of delivery of the certificates for such Common Shares (subject to payment of the Exercise Price), be duly and validly authorized, executed, issued and delivered as fully paid and non-assessable;</w:t>
      </w:r>
    </w:p>
    <w:p>
      <w:pPr>
        <w:spacing w:after="0" w:line="175" w:lineRule="exact"/>
        <w:rPr>
          <w:rFonts w:ascii="Times New Roman" w:cs="Times New Roman" w:eastAsia="Times New Roman" w:hAnsi="Times New Roman"/>
          <w:sz w:val="18"/>
          <w:szCs w:val="18"/>
          <w:color w:val="auto"/>
        </w:rPr>
      </w:pPr>
    </w:p>
    <w:p>
      <w:pPr>
        <w:ind w:left="1960" w:right="100" w:hanging="656"/>
        <w:spacing w:after="0" w:line="261" w:lineRule="auto"/>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and within its power to comply with the requirements of the OBCA, the Securities Act and the other applicable securities laws or comparable legislation of each of the provinces and territories of Canada, the 1933 Securities Act, the 1934 Exchange Act, and any other applicable law, rule or regulation, in connection with the issuance and delivery of the Rights, the Rights Certificates and the issuance of any Common Shares upon exercise of Rights;</w:t>
      </w:r>
    </w:p>
    <w:p>
      <w:pPr>
        <w:spacing w:after="0" w:line="179" w:lineRule="exact"/>
        <w:rPr>
          <w:rFonts w:ascii="Times New Roman" w:cs="Times New Roman" w:eastAsia="Times New Roman" w:hAnsi="Times New Roman"/>
          <w:sz w:val="18"/>
          <w:szCs w:val="18"/>
          <w:color w:val="auto"/>
        </w:rPr>
      </w:pPr>
    </w:p>
    <w:p>
      <w:pPr>
        <w:ind w:left="1960" w:right="520" w:hanging="656"/>
        <w:spacing w:after="0" w:line="282" w:lineRule="auto"/>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cause all Common Shares issued upon exercise of Rights to be listed on the stock exchanges and markets on which such Common Shares were traded immediately prior to the Stock Acquisition Date;</w:t>
      </w:r>
    </w:p>
    <w:p>
      <w:pPr>
        <w:spacing w:after="0" w:line="161" w:lineRule="exact"/>
        <w:rPr>
          <w:rFonts w:ascii="Times New Roman" w:cs="Times New Roman" w:eastAsia="Times New Roman" w:hAnsi="Times New Roman"/>
          <w:sz w:val="18"/>
          <w:szCs w:val="18"/>
          <w:color w:val="auto"/>
        </w:rPr>
      </w:pPr>
    </w:p>
    <w:p>
      <w:pPr>
        <w:ind w:left="1960" w:right="60" w:hanging="656"/>
        <w:spacing w:after="0" w:line="255" w:lineRule="auto"/>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when due and payable, if applicable, any and all federal, provincial, state and municipal transfer taxes and charges (not including any income or capital taxes of the holder or exercising holder or any liability of the Corporation to withhold tax) which may be payable in respect of the original issuance or delivery of the Rights Certificates, or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delivery of certificates for Common Shares issued upon the exercise of Rights in a name other than that of the holder of the Rights being transferred or exercised; and</w:t>
      </w:r>
    </w:p>
    <w:p>
      <w:pPr>
        <w:spacing w:after="0" w:line="188"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except as permitted by Sections 5.1 and 5.4, not take (or permit any Subsidiary to take) any action if at the time such action is taken it is reasonably foreseeable that such action will diminish substantially or otherwise eliminate the benefits intended to be afforded by the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Adjustments to Exercise Price; Number of Rights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Exercise Price, the number and kind of securities subject to purchase upon exercise of each Right and the number of Rights outstanding are subject to adjustment from time to time as provided in this Section 2.3 and in Article 3.</w:t>
      </w:r>
    </w:p>
    <w:p>
      <w:pPr>
        <w:spacing w:after="0" w:line="162"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Expiration Time:</w:t>
      </w:r>
    </w:p>
    <w:p>
      <w:pPr>
        <w:spacing w:after="0" w:line="225" w:lineRule="exact"/>
        <w:rPr>
          <w:rFonts w:ascii="Times New Roman" w:cs="Times New Roman" w:eastAsia="Times New Roman" w:hAnsi="Times New Roman"/>
          <w:sz w:val="18"/>
          <w:szCs w:val="18"/>
          <w:color w:val="auto"/>
        </w:rPr>
      </w:pPr>
    </w:p>
    <w:p>
      <w:pPr>
        <w:ind w:left="1960" w:right="40" w:hanging="656"/>
        <w:spacing w:after="0" w:line="282" w:lineRule="auto"/>
        <w:tabs>
          <w:tab w:leader="none" w:pos="19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 dividend on Common Shares payable in Common Shares or Convertible Securities in respect thereof other than pursuant to any Dividend Reinvestment Plan;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4" w:name="page95"/>
    <w:bookmarkEnd w:id="94"/>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change the then outstanding Common Shares into a greater number of Common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change the then outstanding Common Shares into a smaller number of Common Shares; or</w:t>
      </w:r>
    </w:p>
    <w:p>
      <w:pPr>
        <w:spacing w:after="0" w:line="225" w:lineRule="exact"/>
        <w:rPr>
          <w:rFonts w:ascii="Times New Roman" w:cs="Times New Roman" w:eastAsia="Times New Roman" w:hAnsi="Times New Roman"/>
          <w:sz w:val="18"/>
          <w:szCs w:val="18"/>
          <w:color w:val="auto"/>
        </w:rPr>
      </w:pPr>
    </w:p>
    <w:p>
      <w:pPr>
        <w:ind w:left="1960" w:right="480" w:hanging="656"/>
        <w:spacing w:after="0" w:line="282" w:lineRule="auto"/>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Common Shares (or Convertible Securities in respect thereof) in respect of, in lieu of or in exchange for existing Common Shares except as otherwise provided in this Section 2.3,</w:t>
      </w:r>
    </w:p>
    <w:p>
      <w:pPr>
        <w:spacing w:after="0" w:line="162" w:lineRule="exact"/>
        <w:rPr>
          <w:sz w:val="20"/>
          <w:szCs w:val="20"/>
          <w:color w:val="auto"/>
        </w:rPr>
      </w:pPr>
    </w:p>
    <w:p>
      <w:pPr>
        <w:ind w:left="1300" w:right="40"/>
        <w:spacing w:after="0" w:line="266" w:lineRule="auto"/>
        <w:rPr>
          <w:sz w:val="20"/>
          <w:szCs w:val="20"/>
          <w:color w:val="auto"/>
        </w:rPr>
      </w:pPr>
      <w:r>
        <w:rPr>
          <w:rFonts w:ascii="Times New Roman" w:cs="Times New Roman" w:eastAsia="Times New Roman" w:hAnsi="Times New Roman"/>
          <w:sz w:val="18"/>
          <w:szCs w:val="18"/>
          <w:color w:val="auto"/>
        </w:rPr>
        <w:t>then 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Exercise Price and number of Rights outstanding are to be adjusted:</w:t>
      </w:r>
    </w:p>
    <w:p>
      <w:pPr>
        <w:spacing w:after="0" w:line="225" w:lineRule="exact"/>
        <w:rPr>
          <w:sz w:val="20"/>
          <w:szCs w:val="20"/>
          <w:color w:val="auto"/>
        </w:rPr>
      </w:pPr>
    </w:p>
    <w:p>
      <w:pPr>
        <w:ind w:left="1960" w:right="240" w:hanging="656"/>
        <w:spacing w:after="0" w:line="261" w:lineRule="auto"/>
        <w:tabs>
          <w:tab w:leader="none" w:pos="1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effect after such adjustment will be equal to the Exercise Price in effect immediately prior to such adjustment divided by the number of Common Shares (or other capital stock) (the “</w:t>
      </w:r>
      <w:r>
        <w:rPr>
          <w:rFonts w:ascii="Times New Roman" w:cs="Times New Roman" w:eastAsia="Times New Roman" w:hAnsi="Times New Roman"/>
          <w:sz w:val="18"/>
          <w:szCs w:val="18"/>
          <w:b w:val="1"/>
          <w:bCs w:val="1"/>
          <w:color w:val="auto"/>
        </w:rPr>
        <w:t>Expansion Factor</w:t>
      </w:r>
      <w:r>
        <w:rPr>
          <w:rFonts w:ascii="Times New Roman" w:cs="Times New Roman" w:eastAsia="Times New Roman" w:hAnsi="Times New Roman"/>
          <w:sz w:val="18"/>
          <w:szCs w:val="18"/>
          <w:color w:val="auto"/>
        </w:rPr>
        <w:t>”) that a holder of one Common Share immediately prior to such dividend, subdivision, change, consolidation or issuance would hold thereafter as a result thereof; and</w:t>
      </w:r>
    </w:p>
    <w:p>
      <w:pPr>
        <w:spacing w:after="0" w:line="180" w:lineRule="exact"/>
        <w:rPr>
          <w:sz w:val="20"/>
          <w:szCs w:val="20"/>
          <w:color w:val="auto"/>
        </w:rPr>
      </w:pPr>
    </w:p>
    <w:p>
      <w:pPr>
        <w:ind w:left="1960" w:right="180" w:hanging="656"/>
        <w:spacing w:after="0" w:line="261" w:lineRule="auto"/>
        <w:tabs>
          <w:tab w:leader="none" w:pos="1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held prior to such adjustment will become that number of Rights equal to the Expansion Factor, and the adjusted number of Rights will be deemed to be distributed among the Common Shares with respect to which the original Rights were associated (if they remain outstanding) and the shares issued in respect of such dividend, subdivision, change, consolidation or issuance, so that each such Common Share (or other capital stock) will have exactly one Right associated with it.</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of such dividend, subdivision, change, consolidation or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made pursuant to this Section 2.3(a) shall be made successively, whenever an event referred to in this Section 2.3(a) occurs.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after the Effective Date and prior to the Expiration Time, the Corporation shall issue any shares of capital stock other than Common Shares in a transaction of a type described in Subsections 2.3(a)(i) or 2.3(a)(iv), shares of such capital stock shall be treated herein as nearly equivalent to Common Shares as may be practicable and appropriate under the circumstances and the Corporation and the Rights Agent agree to amend this Agreement in order to effect such treatment.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event occurs which would require an adjustment under both this Section 2.3 and Section 3.1, the adjustment provided for in this Section 2.3 shall be in addition to, and shall be made prior to, any adjustment required under Section 3.1.</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176" w:lineRule="exact"/>
        <w:rPr>
          <w:sz w:val="20"/>
          <w:szCs w:val="20"/>
          <w:color w:val="auto"/>
        </w:rPr>
      </w:pPr>
    </w:p>
    <w:p>
      <w:pPr>
        <w:ind w:left="1300" w:hanging="644"/>
        <w:spacing w:after="0" w:line="255"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fix a record date for the issuance of rights, options or warrants (other than Rights) to all holders of Common Shares entitling them (for a period expiring within 45 calendar days after such record date) to subscribe for or purchase Common Shares (or Convertible Securities in respect of Common Shares) at a price per Common Share (or, in the case of a Convertible Security, having a conversion, exchange or exercise price per share, including the price required to be paid to purchase such Convertible Security) less than the Market Price per Common Share on such record date, the Exercise Price to be in effect after such record date shall be determined by multiplying the Exercise Price in effect immediately prior to such record date by a fraction:</w:t>
      </w:r>
    </w:p>
    <w:p>
      <w:pPr>
        <w:spacing w:after="0" w:line="188" w:lineRule="exact"/>
        <w:rPr>
          <w:rFonts w:ascii="Times New Roman" w:cs="Times New Roman" w:eastAsia="Times New Roman" w:hAnsi="Times New Roman"/>
          <w:sz w:val="18"/>
          <w:szCs w:val="18"/>
          <w:color w:val="auto"/>
        </w:rPr>
      </w:pPr>
    </w:p>
    <w:p>
      <w:pPr>
        <w:ind w:left="1960" w:right="260" w:hanging="656"/>
        <w:spacing w:after="0" w:line="261" w:lineRule="auto"/>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Securities, including the price required to be paid to purchase such Convertible Securities) would purchase at such Market Price per Common Share;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left="1304" w:right="40" w:hanging="656"/>
        <w:spacing w:after="0" w:line="266" w:lineRule="auto"/>
        <w:tabs>
          <w:tab w:leader="none" w:pos="130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number of Common Shares outstanding on such record date plus the number of additional Common Shares to be offered for subscription or purchase (or into which the Convertible Securities so to be offered are initially convertible, exchangeable or exercisable).</w:t>
      </w:r>
    </w:p>
    <w:p>
      <w:pPr>
        <w:spacing w:after="0" w:line="176" w:lineRule="exact"/>
        <w:rPr>
          <w:sz w:val="20"/>
          <w:szCs w:val="20"/>
          <w:color w:val="auto"/>
        </w:rPr>
      </w:pPr>
    </w:p>
    <w:p>
      <w:pPr>
        <w:ind w:left="644" w:right="60"/>
        <w:spacing w:after="0" w:line="254" w:lineRule="auto"/>
        <w:rPr>
          <w:sz w:val="20"/>
          <w:szCs w:val="20"/>
          <w:color w:val="auto"/>
        </w:rPr>
      </w:pPr>
      <w:r>
        <w:rPr>
          <w:rFonts w:ascii="Times New Roman" w:cs="Times New Roman" w:eastAsia="Times New Roman" w:hAnsi="Times New Roman"/>
          <w:sz w:val="18"/>
          <w:szCs w:val="18"/>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192" w:lineRule="exact"/>
        <w:rPr>
          <w:sz w:val="20"/>
          <w:szCs w:val="20"/>
          <w:color w:val="auto"/>
        </w:rPr>
      </w:pPr>
    </w:p>
    <w:p>
      <w:pPr>
        <w:ind w:left="644" w:right="80"/>
        <w:spacing w:after="0" w:line="258" w:lineRule="auto"/>
        <w:rPr>
          <w:sz w:val="20"/>
          <w:szCs w:val="20"/>
          <w:color w:val="auto"/>
        </w:rPr>
      </w:pPr>
      <w:r>
        <w:rPr>
          <w:rFonts w:ascii="Times New Roman" w:cs="Times New Roman" w:eastAsia="Times New Roman" w:hAnsi="Times New Roman"/>
          <w:sz w:val="18"/>
          <w:szCs w:val="18"/>
          <w:color w:val="auto"/>
        </w:rPr>
        <w:t>For purposes of this Agreement, the granting of the right to purchase Common Shares (whether from treasury or otherwise) pursuant to any Dividend Reinvestment Plan or any employee benefit, stock option or similar plans shall be deemed not to constitute an issue of rights, options or warrants by the Corporation; provided, however, that, in the case of any Dividend Reinvestment Plan or share purchase plan, the right to purchase Common Shares is at a price per share of not less than 90% of the current market price per share (determined as provided in such plans) of the Common Shares.</w:t>
      </w:r>
    </w:p>
    <w:p>
      <w:pPr>
        <w:spacing w:after="0" w:line="183" w:lineRule="exact"/>
        <w:rPr>
          <w:sz w:val="20"/>
          <w:szCs w:val="20"/>
          <w:color w:val="auto"/>
        </w:rPr>
      </w:pPr>
    </w:p>
    <w:p>
      <w:pPr>
        <w:ind w:left="644" w:right="60" w:hanging="644"/>
        <w:spacing w:after="0" w:line="254" w:lineRule="auto"/>
        <w:tabs>
          <w:tab w:leader="none" w:pos="6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fix a record date for the making of a distribution to all holders of Common Shares (including any such distribution made in connection with a merger or amalgamation) of evidences of indebtedness, cash (other than an annual cash dividend or a dividend paid in Common Shares, but including any dividend payable in securities other than Common Shares), assets or rights, options or warrants (excluding rights, options or warrants expiring within 45 calendar days after such record date) to purchase Common Shares or Convertible Securities in respect of Common Shares, the Exercise Price in effect after such record date shall be equal to the Exercise Price in effect immediately prior to such record date less the fair market value (as determined in good faith by the Board of Directors) of the portion of the evidences of indebtedness, cash, assets, rights, options or warrants so to be distributed applicable to the securities purchasable upon exercise of one Right. Such adjustment shall be made successively whenever such a record date is fixed.</w:t>
      </w:r>
    </w:p>
    <w:p>
      <w:pPr>
        <w:spacing w:after="0" w:line="188"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2.3(d) are not required to be made shall be carried forward and taken into account in any subsequent adjustment. All calculations under Section 2.3 shall be made to the nearest cent or to the nearest ten-thousandth of a share. Any adjustment required by Section 2.3 shall be made as of:</w:t>
      </w:r>
    </w:p>
    <w:p>
      <w:pPr>
        <w:spacing w:after="0" w:line="183" w:lineRule="exact"/>
        <w:rPr>
          <w:rFonts w:ascii="Times New Roman" w:cs="Times New Roman" w:eastAsia="Times New Roman" w:hAnsi="Times New Roman"/>
          <w:sz w:val="18"/>
          <w:szCs w:val="18"/>
          <w:color w:val="auto"/>
        </w:rPr>
      </w:pPr>
    </w:p>
    <w:p>
      <w:pPr>
        <w:ind w:left="1304" w:right="600" w:hanging="656"/>
        <w:spacing w:after="0" w:line="282" w:lineRule="auto"/>
        <w:tabs>
          <w:tab w:leader="none" w:pos="13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effective date for the applicable dividend, subdivision, change, combination or issuance, in the case of an adjustment made pursuant to Subsection 2.3(a); or</w:t>
      </w:r>
    </w:p>
    <w:p>
      <w:pPr>
        <w:spacing w:after="0" w:line="161" w:lineRule="exact"/>
        <w:rPr>
          <w:rFonts w:ascii="Times New Roman" w:cs="Times New Roman" w:eastAsia="Times New Roman" w:hAnsi="Times New Roman"/>
          <w:sz w:val="18"/>
          <w:szCs w:val="18"/>
          <w:color w:val="auto"/>
        </w:rPr>
      </w:pPr>
    </w:p>
    <w:p>
      <w:pPr>
        <w:ind w:left="1304" w:right="180" w:hanging="656"/>
        <w:spacing w:after="0" w:line="282" w:lineRule="auto"/>
        <w:tabs>
          <w:tab w:leader="none" w:pos="13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applicable dividend or distribution, the case of an adjustment made pursuant to Subsection 2.3(b) or (c), subject to readjustment to reverse the same if such distribution shall not be made.</w:t>
      </w:r>
    </w:p>
    <w:p>
      <w:pPr>
        <w:spacing w:after="0" w:line="161" w:lineRule="exact"/>
        <w:rPr>
          <w:rFonts w:ascii="Times New Roman" w:cs="Times New Roman" w:eastAsia="Times New Roman" w:hAnsi="Times New Roman"/>
          <w:sz w:val="18"/>
          <w:szCs w:val="18"/>
          <w:color w:val="auto"/>
        </w:rPr>
      </w:pPr>
    </w:p>
    <w:p>
      <w:pPr>
        <w:ind w:left="644" w:right="80" w:hanging="644"/>
        <w:spacing w:after="0" w:line="268" w:lineRule="auto"/>
        <w:tabs>
          <w:tab w:leader="none" w:pos="64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issue any shares of capital stock (other than Common Shares), or rights, options or warrants to subscribe for or purchase any such capital stock, or securities convertible into or exchangeable for any such capital stock, in a transaction referred to in Subsection 2.3(a)(i) or (iv) or Subsections 2.3(b) or (c), if the Board of Directors acting in good faith determines that the adjustments contemplated by Subsections 2.3(a), (b) and (c) 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(b) and (c), such adjustments, rather than the adjustments contemplated by Subsections 2.3(a),</w:t>
      </w:r>
    </w:p>
    <w:p>
      <w:pPr>
        <w:spacing w:after="0" w:line="2" w:lineRule="exact"/>
        <w:rPr>
          <w:rFonts w:ascii="Times New Roman" w:cs="Times New Roman" w:eastAsia="Times New Roman" w:hAnsi="Times New Roman"/>
          <w:sz w:val="17"/>
          <w:szCs w:val="17"/>
          <w:color w:val="auto"/>
        </w:rPr>
      </w:pPr>
    </w:p>
    <w:p>
      <w:pPr>
        <w:ind w:left="644"/>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and (c), shall be made. Subject to Subsections 5.4(b) and (c), the Corporation and the Rights Agent may, with the prior approval of the holders of the Common Shares, amend this Agreement as appropriate to provide for such adjustments.</w:t>
      </w:r>
    </w:p>
    <w:p>
      <w:pPr>
        <w:spacing w:after="0" w:line="181" w:lineRule="exact"/>
        <w:rPr>
          <w:rFonts w:ascii="Times New Roman" w:cs="Times New Roman" w:eastAsia="Times New Roman" w:hAnsi="Times New Roman"/>
          <w:sz w:val="17"/>
          <w:szCs w:val="17"/>
          <w:color w:val="auto"/>
        </w:rPr>
      </w:pPr>
    </w:p>
    <w:p>
      <w:pPr>
        <w:ind w:left="644" w:right="160" w:hanging="644"/>
        <w:spacing w:after="0" w:line="266" w:lineRule="auto"/>
        <w:tabs>
          <w:tab w:leader="none" w:pos="6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175"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96" w:name="page97"/>
    <w:bookmarkEnd w:id="96"/>
    <w:p>
      <w:pPr>
        <w:ind w:left="1300" w:right="20" w:hanging="644"/>
        <w:spacing w:after="0" w:line="255"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this Section 2.3 shall require that an adjustment in the Exercise Price be made effective as of a record date for a specified event, the Corporation may elect to defer until the occurrence of such event the issuance 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shares (fractional or otherwise) or other securities upon the occurrence of the event requiring such adjustment.</w:t>
      </w:r>
    </w:p>
    <w:p>
      <w:pPr>
        <w:spacing w:after="0" w:line="18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subdivision of Common Shares;</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(wholly or in part for cash) of Common Shares or securities that by their terms are convertible into or exchangeable for Common Shares;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rights, options or warrants referred to in this Section 2.3,</w:t>
      </w:r>
    </w:p>
    <w:p>
      <w:pPr>
        <w:spacing w:after="0" w:line="225" w:lineRule="exact"/>
        <w:rPr>
          <w:sz w:val="20"/>
          <w:szCs w:val="20"/>
          <w:color w:val="auto"/>
        </w:rPr>
      </w:pPr>
    </w:p>
    <w:p>
      <w:pPr>
        <w:ind w:left="1300" w:right="440"/>
        <w:spacing w:after="0" w:line="282" w:lineRule="auto"/>
        <w:rPr>
          <w:sz w:val="20"/>
          <w:szCs w:val="20"/>
          <w:color w:val="auto"/>
        </w:rPr>
      </w:pPr>
      <w:r>
        <w:rPr>
          <w:rFonts w:ascii="Times New Roman" w:cs="Times New Roman" w:eastAsia="Times New Roman" w:hAnsi="Times New Roman"/>
          <w:sz w:val="18"/>
          <w:szCs w:val="18"/>
          <w:color w:val="auto"/>
        </w:rPr>
        <w:t>hereafter made by the Corporation to holders of its Common Shares, subject to applicable taxation laws, shall not be taxable to such shareholders or shall subject such shareholders to a lesser amount of tax.</w:t>
      </w:r>
    </w:p>
    <w:p>
      <w:pPr>
        <w:spacing w:after="0" w:line="162"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 adjustment to the Exercise Price is made pursuant to this Section 2.3, the Corporation shall:</w:t>
      </w:r>
    </w:p>
    <w:p>
      <w:pPr>
        <w:spacing w:after="0" w:line="225" w:lineRule="exact"/>
        <w:rPr>
          <w:rFonts w:ascii="Times New Roman" w:cs="Times New Roman" w:eastAsia="Times New Roman" w:hAnsi="Times New Roman"/>
          <w:sz w:val="18"/>
          <w:szCs w:val="18"/>
          <w:color w:val="auto"/>
        </w:rPr>
      </w:pPr>
    </w:p>
    <w:p>
      <w:pPr>
        <w:ind w:left="1960" w:right="280" w:hanging="656"/>
        <w:spacing w:after="0" w:line="282"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 certificate setting forth such adjustment and a brief statement of the facts accounting for such adjustment; and</w:t>
      </w:r>
    </w:p>
    <w:p>
      <w:pPr>
        <w:spacing w:after="0" w:line="161" w:lineRule="exact"/>
        <w:rPr>
          <w:rFonts w:ascii="Times New Roman" w:cs="Times New Roman" w:eastAsia="Times New Roman" w:hAnsi="Times New Roman"/>
          <w:sz w:val="18"/>
          <w:szCs w:val="18"/>
          <w:color w:val="auto"/>
        </w:rPr>
      </w:pPr>
    </w:p>
    <w:p>
      <w:pPr>
        <w:ind w:left="1960" w:right="240" w:hanging="656"/>
        <w:spacing w:after="0" w:line="282"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with the Rights Agent and with each transfer agent for the Common Shares a copy of such certificate and mail a brief summary thereof to each holder of Rights who requests a copy;</w:t>
      </w:r>
    </w:p>
    <w:p>
      <w:pPr>
        <w:spacing w:after="0" w:line="162"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Failure to file such certificate or to cause such notice to be given as aforesaid, or any defect therein, shall not affect the validity of any such adjustment or change.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Date on Which Exercise Is Effective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Person in whose name any certificate for Common Shares or other securities, if applicable, is issued upon the exercise of Rights shall for all purposes be deemed to have become the absolute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shares on, and such certificate shall be dated, the next succeeding Business Day on which the Common Share transfer books of the Corporation are open.</w:t>
      </w:r>
    </w:p>
    <w:p>
      <w:pPr>
        <w:spacing w:after="0" w:line="1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Execution, Authentication, Delivery and Dating of Rights Certificates</w:t>
      </w:r>
    </w:p>
    <w:p>
      <w:pPr>
        <w:spacing w:after="0" w:line="148" w:lineRule="exact"/>
        <w:rPr>
          <w:sz w:val="20"/>
          <w:szCs w:val="20"/>
          <w:color w:val="auto"/>
        </w:rPr>
      </w:pPr>
    </w:p>
    <w:p>
      <w:pPr>
        <w:ind w:left="1300" w:hanging="644"/>
        <w:spacing w:after="0" w:line="25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Corporation by its Chair of the Board, Chief Executive Officer, President, Chief Financial Officer or any Vice-President and by its Corporate Secretary or any Assistant Secretary under the corporate seal of the Corporation reproduced thereon.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106"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Corporation learns of the Separation Time, the Corporation will notify the Rights Agent of such Separation Time and will deliver Rights Certificates executed by the Corporation and disclosure statements describing the Rights to the Rights Agent for countersignature, and the Rights Agent shall countersign (manually or by facsimile signature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1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Rights Certificate shall be dated the date of countersignature thereof.</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Registration, Transfer and Exchange</w:t>
      </w:r>
    </w:p>
    <w:p>
      <w:pPr>
        <w:spacing w:after="0" w:line="225" w:lineRule="exact"/>
        <w:rPr>
          <w:sz w:val="20"/>
          <w:szCs w:val="20"/>
          <w:color w:val="auto"/>
        </w:rPr>
      </w:pPr>
    </w:p>
    <w:p>
      <w:pPr>
        <w:ind w:left="1300" w:right="40" w:hanging="644"/>
        <w:spacing w:after="0" w:line="257"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the Corporation will cause to be kept a register (the “</w:t>
      </w:r>
      <w:r>
        <w:rPr>
          <w:rFonts w:ascii="Times New Roman" w:cs="Times New Roman" w:eastAsia="Times New Roman" w:hAnsi="Times New Roman"/>
          <w:sz w:val="18"/>
          <w:szCs w:val="18"/>
          <w:b w:val="1"/>
          <w:bCs w:val="1"/>
          <w:color w:val="auto"/>
        </w:rPr>
        <w:t>Rights Register</w:t>
      </w:r>
      <w:r>
        <w:rPr>
          <w:rFonts w:ascii="Times New Roman" w:cs="Times New Roman" w:eastAsia="Times New Roman" w:hAnsi="Times New Roman"/>
          <w:sz w:val="18"/>
          <w:szCs w:val="18"/>
          <w:color w:val="auto"/>
        </w:rPr>
        <w:t>”) in which, subject to such reasonable regulations as it may prescribe, the Corporation will provide for the registration and transfer of Rights. The Rights Agent, at its office in the City of Toronto, is hereby appointed registrar for the Rights (the “</w:t>
      </w:r>
      <w:r>
        <w:rPr>
          <w:rFonts w:ascii="Times New Roman" w:cs="Times New Roman" w:eastAsia="Times New Roman" w:hAnsi="Times New Roman"/>
          <w:sz w:val="18"/>
          <w:szCs w:val="18"/>
          <w:b w:val="1"/>
          <w:bCs w:val="1"/>
          <w:color w:val="auto"/>
        </w:rPr>
        <w:t>Rights Registrar</w:t>
      </w:r>
      <w:r>
        <w:rPr>
          <w:rFonts w:ascii="Times New Roman" w:cs="Times New Roman" w:eastAsia="Times New Roman" w:hAnsi="Times New Roman"/>
          <w:sz w:val="18"/>
          <w:szCs w:val="18"/>
          <w:color w:val="auto"/>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spacing w:after="0" w:line="186"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and prior to the Expiration Time, upon surrender for registration of transfer or exchange of any Rights Certificate, and subject to the provisions of Subsection 2.6(d),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179"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175"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Mutilated, Destroyed, Lost and Stolen Rights Certificates</w:t>
      </w:r>
    </w:p>
    <w:p>
      <w:pPr>
        <w:spacing w:after="0" w:line="229" w:lineRule="exact"/>
        <w:rPr>
          <w:sz w:val="20"/>
          <w:szCs w:val="20"/>
          <w:color w:val="auto"/>
        </w:rPr>
      </w:pPr>
    </w:p>
    <w:p>
      <w:pPr>
        <w:ind w:left="1300" w:right="100" w:hanging="644"/>
        <w:spacing w:after="0" w:line="266"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delivered to the Corporation and the Rights Agent prior to the Expiration Time: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to their reasonable satisfaction of the destruction, loss or theft of any Rights Certificate; and</w:t>
      </w:r>
    </w:p>
    <w:p>
      <w:pPr>
        <w:spacing w:after="0" w:line="225"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reasonably required by each of them in their sole discretion to save each of them and any of their agents harmless,</w:t>
      </w:r>
    </w:p>
    <w:p>
      <w:pPr>
        <w:spacing w:after="0" w:line="160" w:lineRule="exact"/>
        <w:rPr>
          <w:sz w:val="20"/>
          <w:szCs w:val="20"/>
          <w:color w:val="auto"/>
        </w:rPr>
      </w:pPr>
    </w:p>
    <w:p>
      <w:pPr>
        <w:ind w:left="1300" w:right="20"/>
        <w:spacing w:after="0" w:line="261" w:lineRule="auto"/>
        <w:rPr>
          <w:sz w:val="20"/>
          <w:szCs w:val="20"/>
          <w:color w:val="auto"/>
        </w:rPr>
      </w:pPr>
      <w:r>
        <w:rPr>
          <w:rFonts w:ascii="Times New Roman" w:cs="Times New Roman" w:eastAsia="Times New Roman" w:hAnsi="Times New Roman"/>
          <w:sz w:val="18"/>
          <w:szCs w:val="18"/>
          <w:color w:val="auto"/>
        </w:rPr>
        <w:t xml:space="preserve">then, in the absence of notice to the Corporation or the Rights Agent that such Rights Certificate has been acquired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182" w:lineRule="exact"/>
        <w:rPr>
          <w:sz w:val="20"/>
          <w:szCs w:val="20"/>
          <w:color w:val="auto"/>
        </w:rPr>
      </w:pPr>
    </w:p>
    <w:p>
      <w:pPr>
        <w:jc w:val="both"/>
        <w:ind w:left="1300" w:right="240" w:hanging="644"/>
        <w:spacing w:after="0" w:line="266"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Persons Deemed Owners of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“holder” of any Right shall mean the registered holder of such Right (or, prior to the Separation Time, of the associated Common Share).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8" w:name="page99"/>
    <w:bookmarkEnd w:id="9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Delivery and Cancellation of Certificates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destroy all cancelled Rights Certificates and, upon request of the Corporation, deliver a certificate of destruction to the Corporation.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Agreement of Rights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holder of Rights, by accepting the same, consents and agrees with the Corporation and the Rights Agent and with every other holder of Rights:</w:t>
      </w:r>
    </w:p>
    <w:p>
      <w:pPr>
        <w:spacing w:after="0" w:line="225" w:lineRule="exact"/>
        <w:rPr>
          <w:sz w:val="20"/>
          <w:szCs w:val="20"/>
          <w:color w:val="auto"/>
        </w:rPr>
      </w:pPr>
    </w:p>
    <w:p>
      <w:pPr>
        <w:ind w:left="1300" w:right="32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bound by and subject to the provisions of this Agreement, as amended from time to time in accordance with the terms hereof, in respect of all Rights held;</w:t>
      </w:r>
    </w:p>
    <w:p>
      <w:pPr>
        <w:spacing w:after="0" w:line="161"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the Separation Time, each Right will be transferable only together with, and will be transferred by a transfer of, the associated Voting Share certificate representing such Right;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after the Separation Time, the Rights Certificates will be transferable only on the Rights Register as provided herein;</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5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due presentment of a Rights Certificate (or, prior to the Separation Time, the associated Voting Share certificate) for registration of transfer, the Corporation, the Rights Agent and any agent of the Corporation or the Rights Agent may deem and treat the Person in whose name the Rights Certificate (or, prior to the Separation Time, the associated Voting Share certificate)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w:t>
      </w:r>
    </w:p>
    <w:p>
      <w:pPr>
        <w:spacing w:after="0" w:line="187"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of Rights has waived his right to receive any fractional Rights or any fractional shares or other securities upon exercise of a Right (except as provided herein);</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the provisions of Section 5.4, without the approval of any holder of Rights or Voting Shares and upon the sole authority of the Board of Directors, acting in good faith, this Agreement may be supplemented or amended from time to time pursuant to and as provided herein; and</w:t>
      </w:r>
    </w:p>
    <w:p>
      <w:pPr>
        <w:spacing w:after="0" w:line="175" w:lineRule="exact"/>
        <w:rPr>
          <w:rFonts w:ascii="Times New Roman" w:cs="Times New Roman" w:eastAsia="Times New Roman" w:hAnsi="Times New Roman"/>
          <w:sz w:val="18"/>
          <w:szCs w:val="18"/>
          <w:color w:val="auto"/>
        </w:rPr>
      </w:pPr>
    </w:p>
    <w:p>
      <w:pPr>
        <w:ind w:left="1300" w:right="200" w:hanging="644"/>
        <w:spacing w:after="0" w:line="258"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notwithstanding anything in this Agreement to the contrary, neither the Corporation nor the Rights Agent shall have any liability to any holder of a Right or any other Person as a result of its inability to perform any of its obligations under this Agreement by reason of preliminary or permanent injunctions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Rights Certificate Holder Not Deemed a Shareholder</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holder, as such, of any Rights or Rights Certificate shall be entitled to vote, receive dividends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 Common Shares or any other shares or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shares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ADJUSTMENTS TO THE RIGHTS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Flip-in Event</w:t>
      </w:r>
    </w:p>
    <w:p>
      <w:pPr>
        <w:spacing w:after="0" w:line="229" w:lineRule="exact"/>
        <w:rPr>
          <w:sz w:val="20"/>
          <w:szCs w:val="20"/>
          <w:color w:val="auto"/>
        </w:rPr>
      </w:pPr>
    </w:p>
    <w:p>
      <w:pPr>
        <w:ind w:left="1300" w:right="20" w:hanging="644"/>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3.1(b) and Section 5.1, in the event that prior to the Expiration Time a Flip-in Event shall occur, each Right shall constitute, effective at the close of business on the tenth Trading Day after the Stock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188"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upon the occurrence of any Flip-in Event, any Rights that are or were Beneficially Owned on or after the earlier of the Separation Time or the Stock Acquisition Date by:</w:t>
      </w:r>
    </w:p>
    <w:p>
      <w:pPr>
        <w:spacing w:after="0" w:line="161"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Person (or any Affiliate or Associate of an Acquiring Person or any other Person acting jointly or in concert with an Acquiring Person or any Affiliate or Associate of such other Person); or</w:t>
      </w:r>
    </w:p>
    <w:p>
      <w:pPr>
        <w:spacing w:after="0" w:line="157" w:lineRule="exact"/>
        <w:rPr>
          <w:rFonts w:ascii="Times New Roman" w:cs="Times New Roman" w:eastAsia="Times New Roman" w:hAnsi="Times New Roman"/>
          <w:sz w:val="18"/>
          <w:szCs w:val="18"/>
          <w:color w:val="auto"/>
        </w:rPr>
      </w:pPr>
    </w:p>
    <w:p>
      <w:pPr>
        <w:ind w:left="1960" w:right="40" w:hanging="656"/>
        <w:spacing w:after="0" w:line="256" w:lineRule="auto"/>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or other successor in title, directly or indirectly,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of Rights held by an Acquiring Person (or any Affiliate or Associate of an Acquiring Person or any other Person acting jointly or in concert with an Acquiring Person or any Affiliate or Associate of such other Person), where such Transferee becomes a transferee concurrently with or subsequent to the Acquiring Person becoming such in a transfer that the Board of Directors acting in good faith has determined is part of a plan, arrangement or scheme of an Acquiring Person (or any Affiliate or Associate of an Acquiring Person or any other Person acting jointly or in concert with an Acquiring Person or any Affiliate or Associate of such other Person), that has the purpose or effect of avoiding Subsection 3.1(b)(i),</w:t>
      </w:r>
    </w:p>
    <w:p>
      <w:pPr>
        <w:spacing w:after="0" w:line="187" w:lineRule="exact"/>
        <w:rPr>
          <w:sz w:val="20"/>
          <w:szCs w:val="20"/>
          <w:color w:val="auto"/>
        </w:rPr>
      </w:pPr>
    </w:p>
    <w:p>
      <w:pPr>
        <w:ind w:left="1300"/>
        <w:spacing w:after="0" w:line="274" w:lineRule="auto"/>
        <w:rPr>
          <w:sz w:val="20"/>
          <w:szCs w:val="20"/>
          <w:color w:val="auto"/>
        </w:rPr>
      </w:pPr>
      <w:r>
        <w:rPr>
          <w:rFonts w:ascii="Times New Roman" w:cs="Times New Roman" w:eastAsia="Times New Roman" w:hAnsi="Times New Roman"/>
          <w:sz w:val="17"/>
          <w:szCs w:val="17"/>
          <w:color w:val="auto"/>
        </w:rPr>
        <w:t>shall become null and void without any further action, and any holder of such Rights (including any Transferee) shall thereafter have no right to exercise such Rights under any provision of this Agreement and further shall thereafter not have any other rights whatsoever with respect to such Rights, whether under any provision of this Agreement or otherwise. The holder of any Rights represented by a Rights Certificate which is submitted to the Rights Agent upon exercise or for registration or transfer or exchange which does not contain the necessary certifications set forth in the Rights Certificate establishing that such Rights are not null and void under this Subsection 3.1(b) shall be deemed to be an Acquiring Person for the purposes of this Subsection 3.1 and such Rights shall become null and void.</w:t>
      </w:r>
    </w:p>
    <w:p>
      <w:pPr>
        <w:spacing w:after="0" w:line="173" w:lineRule="exact"/>
        <w:rPr>
          <w:sz w:val="20"/>
          <w:szCs w:val="20"/>
          <w:color w:val="auto"/>
        </w:rPr>
      </w:pPr>
    </w:p>
    <w:p>
      <w:pPr>
        <w:ind w:left="1300" w:right="20" w:hanging="644"/>
        <w:spacing w:after="0" w:line="256"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OBCA, the Securities Act and the other applicable securities laws or comparable legislation of each of the provinces and territories of Canada and in any other jurisdiction where the Corporation is subject to such laws and the rules of the stock exchanges or quotation systems where the Common Shares are listed or quoted at such time in respect of the issue of Common Shares upon the exercise of Rights in accordance with this Agreement.</w:t>
      </w:r>
    </w:p>
    <w:p>
      <w:pPr>
        <w:spacing w:after="0" w:line="187"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Certificate that represents Rights Beneficially Owned by a Person described in either Subsection 3.1(b)(i) or (ii) or transferred to any Nominee of any such Person, and any Rights Certificate issued upon transfer, exchange, replacement or adjustment of any other Rights Certificate referred to in this sentence, shall contain or will be deemed to contain the following legend:</w:t>
      </w:r>
    </w:p>
    <w:p>
      <w:pPr>
        <w:spacing w:after="0" w:line="176" w:lineRule="exact"/>
        <w:rPr>
          <w:sz w:val="20"/>
          <w:szCs w:val="20"/>
          <w:color w:val="auto"/>
        </w:rPr>
      </w:pPr>
    </w:p>
    <w:p>
      <w:pPr>
        <w:ind w:left="1960" w:right="20"/>
        <w:spacing w:after="0" w:line="258" w:lineRule="auto"/>
        <w:rPr>
          <w:sz w:val="20"/>
          <w:szCs w:val="20"/>
          <w:color w:val="auto"/>
        </w:rPr>
      </w:pPr>
      <w:r>
        <w:rPr>
          <w:rFonts w:ascii="Times New Roman" w:cs="Times New Roman" w:eastAsia="Times New Roman" w:hAnsi="Times New Roman"/>
          <w:sz w:val="18"/>
          <w:szCs w:val="18"/>
          <w:color w:val="auto"/>
        </w:rPr>
        <w:t>The Rights represented by this Rights Certificate were issued to a Person who was an Acquiring Person or an Affiliate or an Associate of an Acquiring Person (as such terms are defined in the Shareholder Rights Agreement) or a Person who was acting jointly or in concert with an Acquiring Person or an Affiliate or Associate of such Person. This Rights Certificate and the Rights represented hereby are void or shall become void in the circumstances specified in Subsection 3.1(b) of the Shareholder Rights Agreement.</w:t>
      </w:r>
    </w:p>
    <w:p>
      <w:pPr>
        <w:spacing w:after="0" w:line="183"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18"/>
          <w:szCs w:val="18"/>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 and provided further that the fact that such legend does not appear on a certificate is not determinative of whether any Rights represented thereby are void under this Section.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300" w:hanging="644"/>
        <w:spacing w:after="0" w:line="25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Times New Roman" w:cs="Times New Roman" w:eastAsia="Times New Roman" w:hAnsi="Times New Roman"/>
          <w:sz w:val="18"/>
          <w:szCs w:val="18"/>
          <w:b w:val="1"/>
          <w:bCs w:val="1"/>
          <w:color w:val="auto"/>
        </w:rPr>
        <w:t>Co-Rights Agents</w:t>
      </w:r>
      <w:r>
        <w:rPr>
          <w:rFonts w:ascii="Times New Roman" w:cs="Times New Roman" w:eastAsia="Times New Roman" w:hAnsi="Times New Roman"/>
          <w:sz w:val="18"/>
          <w:szCs w:val="18"/>
          <w:color w:val="auto"/>
        </w:rPr>
        <w:t>”) as it may deem necessary or desirable. In the event the Corporation appoints one or more Co-Rights Agents, the respective duties of the Rights Agent and Co-Rights Agents shall be as the Corporation may determine with the approval of the Rights Agent and the Co-Rights Agent. The Corporation agrees to pay to the Rights Agent reasonable compensation for all services rendered by it hereunder and, from time to time, on demand of the Rights Agent, its reasonable expenses and counsel fees and other disbursements reasonably incurred in the administration and execution of this Agreement and the exercise and performance of its duties hereunder (including the fees and disbursements of any expert or advisor retained by the Rights Agent pursuant to Section 4.3(a)). The Corporation also agrees to indemnify the Rights Agent, and its officers, directors, employees, affiliates and agents for, and to hold it and them harmless against, any loss, liability or expense, incurred without gross negligence, bad faith or wilful misconduct on the part of the Rights Agent or such persons, for anything done or omitted by the Rights Agent or such persons in connection with the acceptance and administration of this Agreement, including legal costs and expenses, which right to indemnification will survive the termination of this Agreement and the resignation or removal of the Rights Agent. Any liability of the Rights Agent will be limited in the aggregate to an amount equal to the annual fee paid by the Corporation pursuant to this Agreement.</w:t>
      </w:r>
    </w:p>
    <w:p>
      <w:pPr>
        <w:spacing w:after="0" w:line="197" w:lineRule="exact"/>
        <w:rPr>
          <w:rFonts w:ascii="Times New Roman" w:cs="Times New Roman" w:eastAsia="Times New Roman" w:hAnsi="Times New Roman"/>
          <w:sz w:val="18"/>
          <w:szCs w:val="18"/>
          <w:color w:val="auto"/>
        </w:rPr>
      </w:pPr>
    </w:p>
    <w:p>
      <w:pPr>
        <w:ind w:left="1300" w:right="180" w:hanging="644"/>
        <w:spacing w:after="0" w:line="258"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certifying the then current officers of the Corporation.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Merger, Amalgamation or Consolidation or Change of Name of Rights Agent</w:t>
      </w:r>
    </w:p>
    <w:p>
      <w:pPr>
        <w:spacing w:after="0" w:line="229" w:lineRule="exact"/>
        <w:rPr>
          <w:sz w:val="20"/>
          <w:szCs w:val="20"/>
          <w:color w:val="auto"/>
        </w:rPr>
      </w:pPr>
    </w:p>
    <w:p>
      <w:pPr>
        <w:ind w:left="1300" w:right="20" w:hanging="644"/>
        <w:spacing w:after="0" w:line="270" w:lineRule="auto"/>
        <w:tabs>
          <w:tab w:leader="none" w:pos="13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176" w:lineRule="exact"/>
        <w:rPr>
          <w:rFonts w:ascii="Times New Roman" w:cs="Times New Roman" w:eastAsia="Times New Roman" w:hAnsi="Times New Roman"/>
          <w:sz w:val="17"/>
          <w:szCs w:val="17"/>
          <w:color w:val="auto"/>
        </w:rPr>
      </w:pPr>
    </w:p>
    <w:p>
      <w:pPr>
        <w:ind w:left="1300" w:right="20" w:hanging="644"/>
        <w:spacing w:after="0" w:line="258"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Duties of Rights Agent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spacing w:after="0" w:line="162" w:lineRule="exact"/>
        <w:rPr>
          <w:sz w:val="20"/>
          <w:szCs w:val="20"/>
          <w:color w:val="auto"/>
        </w:rPr>
      </w:pPr>
    </w:p>
    <w:p>
      <w:pPr>
        <w:ind w:left="1300" w:right="100" w:hanging="644"/>
        <w:spacing w:after="0" w:line="258"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retain and consult with legal counsel (who may be legal counsel for the Corporation) and the opinion of such counsel will be full and complete authorization and protection to the Rights Agent as to any action taken or omitted by it in good faith and in accordance with such opinion and the Rights Agent may also consult with such other experts as the Rights Agent may reasonably consider necessary or appropriate to properly carry out the duties and obligations imposed under this Agreement (at the expense of the Corporation) and the Rights Agent shall be entitled to act and rely in good faith on the advice of any such expert;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1" w:name="page102"/>
    <w:bookmarkEnd w:id="101"/>
    <w:p>
      <w:pPr>
        <w:ind w:left="644" w:right="40" w:hanging="644"/>
        <w:spacing w:after="0" w:line="255"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deems it necessary or desirable that any fact or matter be proved or 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 of the Board, Chief Executive Officer, President, Chief Financial Officer, any Vice-President, Treasurer, Corporate Secretary or any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be liable hereunder only for its own gross negligence, bad faith or wilful misconduct;</w:t>
      </w:r>
    </w:p>
    <w:p>
      <w:pPr>
        <w:spacing w:after="0" w:line="225" w:lineRule="exact"/>
        <w:rPr>
          <w:rFonts w:ascii="Times New Roman" w:cs="Times New Roman" w:eastAsia="Times New Roman" w:hAnsi="Times New Roman"/>
          <w:sz w:val="18"/>
          <w:szCs w:val="18"/>
          <w:color w:val="auto"/>
        </w:rPr>
      </w:pPr>
    </w:p>
    <w:p>
      <w:pPr>
        <w:ind w:left="644" w:right="280" w:hanging="644"/>
        <w:spacing w:after="0" w:line="258"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liable for or by reason of any of the statements of fact or recitals contained in this Agreement or in the certificates for Common Shares or the Rights Certificates (except its countersignature thereof which countersignature shall not be construed as a representation or warranty by the Rights Agent as to the validity of this Agreement or the Rights Certificate (except the due certification thereof)), or be required to verify the same, but all such statements and recitals are and will be deemed to have been made by the Corporation only;</w:t>
      </w:r>
    </w:p>
    <w:p>
      <w:pPr>
        <w:spacing w:after="0" w:line="183" w:lineRule="exact"/>
        <w:rPr>
          <w:rFonts w:ascii="Times New Roman" w:cs="Times New Roman" w:eastAsia="Times New Roman" w:hAnsi="Times New Roman"/>
          <w:sz w:val="18"/>
          <w:szCs w:val="18"/>
          <w:color w:val="auto"/>
        </w:rPr>
      </w:pPr>
    </w:p>
    <w:p>
      <w:pPr>
        <w:ind w:left="644" w:right="20" w:hanging="644"/>
        <w:spacing w:after="0" w:line="253"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or Rights Certificate (except its countersignature thereof, which countersignature shall not be construed as a representation or warranty by the Rights Agent as to the validity of this Agreement or the Rights Certificate (except the due certification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or any written notice from the Corporation or any holder that a Person has become an Acquiring Person);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187" w:lineRule="exact"/>
        <w:rPr>
          <w:rFonts w:ascii="Times New Roman" w:cs="Times New Roman" w:eastAsia="Times New Roman" w:hAnsi="Times New Roman"/>
          <w:sz w:val="18"/>
          <w:szCs w:val="18"/>
          <w:color w:val="auto"/>
        </w:rPr>
      </w:pPr>
    </w:p>
    <w:p>
      <w:pPr>
        <w:ind w:left="644" w:right="160" w:hanging="644"/>
        <w:spacing w:after="0" w:line="266"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5" w:lineRule="exact"/>
        <w:rPr>
          <w:rFonts w:ascii="Times New Roman" w:cs="Times New Roman" w:eastAsia="Times New Roman" w:hAnsi="Times New Roman"/>
          <w:sz w:val="18"/>
          <w:szCs w:val="18"/>
          <w:color w:val="auto"/>
        </w:rPr>
      </w:pPr>
    </w:p>
    <w:p>
      <w:pPr>
        <w:ind w:left="644" w:right="120" w:hanging="644"/>
        <w:spacing w:after="0" w:line="255"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in writing with respect to the performance of its duties hereunder from any individual believed by the Rights Agent to be the Chair of the Board, President, Chief Executive Officer, Chief Financial Officer, any Vice-President, Treasurer, Corporate Secretary or any Assistant Secretary of the Corporation, and to apply to such individuals for advice or instructions in connection with its duties, and it shall not be liable for any action taken or suffered by it in good faith in accordance with instructions of any such individual. It is understood that instructions to the Rights Agent shall, except where circumstances make it impractical or the Rights Agent otherwise agrees, be given in writing and, where not in writing, such instructions shall be confirmed in writing as soon as practicable after the giving of such instructions;</w:t>
      </w:r>
    </w:p>
    <w:p>
      <w:pPr>
        <w:spacing w:after="0" w:line="188" w:lineRule="exact"/>
        <w:rPr>
          <w:rFonts w:ascii="Times New Roman" w:cs="Times New Roman" w:eastAsia="Times New Roman" w:hAnsi="Times New Roman"/>
          <w:sz w:val="18"/>
          <w:szCs w:val="18"/>
          <w:color w:val="auto"/>
        </w:rPr>
      </w:pPr>
    </w:p>
    <w:p>
      <w:pPr>
        <w:ind w:left="644" w:hanging="644"/>
        <w:spacing w:after="0" w:line="258"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183" w:lineRule="exact"/>
        <w:rPr>
          <w:rFonts w:ascii="Times New Roman" w:cs="Times New Roman" w:eastAsia="Times New Roman" w:hAnsi="Times New Roman"/>
          <w:sz w:val="18"/>
          <w:szCs w:val="18"/>
          <w:color w:val="auto"/>
        </w:rPr>
      </w:pPr>
    </w:p>
    <w:p>
      <w:pPr>
        <w:ind w:left="644" w:right="420" w:hanging="644"/>
        <w:spacing w:after="0" w:line="261"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ensure or verify compliance with any applicable laws or regulatory requirements on the issue, exercise or transfer of any Rights or Common Shares issuable upon the exercise thereof. The Rights Agent shall be entitled to process all transfers and exercises of Rights upon the presumption that such transfers or exercises are permissible pursuant to all applicable laws and regulatory requirements;</w:t>
      </w:r>
    </w:p>
    <w:p>
      <w:pPr>
        <w:spacing w:after="0" w:line="179"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ensure that the legends appearing on the Rights Certificates or Common Shares comply with regulatory requirements or securities laws of any applicable jurisdiction; and</w:t>
      </w:r>
    </w:p>
    <w:p>
      <w:pPr>
        <w:spacing w:after="0" w:line="161"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Corporation resulting from any such act, default, neglect or misconduct, provided reasonable care was exercised in the selection and continued employment thereof.</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2" w:name="page103"/>
    <w:bookmarkEnd w:id="10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Change of Rights Agent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Rights Agent may resign and be discharged from its duties under this Agreement upon 60 days’ notice (or such lesser notice as is acceptable to the Corporation) in writing mailed to the Corporation and to each transfer agent of Common Shares by registered or certified mail and to the holders of Rights in accordance with Section 5.9. The Corporation may remove the Rights Agent upon 30 days’ notice in writing, mailed to the Rights Agent and to each transfer agent of the Common Shares by registered or certified mail and to the holders of Rights in accordance with Section 5.9.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(at the Corporation’s expense) or the holder of any Rights (which holder shall, with such notice, submit such holder’s Rights Certificate, if any, for inspection by the Corporation), may apply, at the Corporation’s expense, to any court of competent jurisdiction for the appointment of a new Rights Agent. Any successor Rights Agent, whether appointed by the Corporation or by such a court, shall be a corporation incorporated under the laws of Canada or a province thereof authorized to carry on the business of a trust company in the Province of Ontario. After appointment, the successor Rights Agent will be vested with the same powers, rights, duties and responsibilities as if it had been originally named as Rights Agent without further act or deed; but the predecessor Rights Agent shall, upon payment in full of any outstanding amounts owing by the Corporation to the Rights Agent under this Agreement,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Compliance with Anti-Money Laundering Legislation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Rights Agent shall retain the right not to act and shall not be liable for refusing to act if, due to a lack of information or for any other reason, the Rights Agent reasonably determines that such an act might cause it to be in non-compliance with any applicable anti-money laundering, anti-terrorist or economics sanctions legislation, regulation or guideline. Further, should the Rights Agent reasonably determine at any time that its acting under this Agreement has resulted in it being in non-compliance with any applicable anti-money laundering, anti-terrorist or economics sanctions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Privacy Legislation</w:t>
      </w:r>
    </w:p>
    <w:p>
      <w:pPr>
        <w:spacing w:after="0" w:line="225" w:lineRule="exact"/>
        <w:rPr>
          <w:sz w:val="20"/>
          <w:szCs w:val="20"/>
          <w:color w:val="auto"/>
        </w:rPr>
      </w:pPr>
    </w:p>
    <w:p>
      <w:pPr>
        <w:ind w:right="40" w:firstLine="7"/>
        <w:spacing w:after="0" w:line="257" w:lineRule="auto"/>
        <w:rPr>
          <w:sz w:val="20"/>
          <w:szCs w:val="20"/>
          <w:color w:val="auto"/>
        </w:rPr>
      </w:pPr>
      <w:r>
        <w:rPr>
          <w:rFonts w:ascii="Times New Roman" w:cs="Times New Roman" w:eastAsia="Times New Roman" w:hAnsi="Times New Roman"/>
          <w:sz w:val="18"/>
          <w:szCs w:val="18"/>
          <w:color w:val="auto"/>
        </w:rPr>
        <w:t>The parties acknowledge that federal and/or provincial legislation that addresses the protection of individual’s personal information (collectively,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applies to obligations and activities under this Agreement. Despite any other provision of this Agreement, neither party will take or direct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Liability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Redemption and Waiver</w:t>
      </w:r>
    </w:p>
    <w:p>
      <w:pPr>
        <w:spacing w:after="0" w:line="229" w:lineRule="exact"/>
        <w:rPr>
          <w:sz w:val="20"/>
          <w:szCs w:val="20"/>
          <w:color w:val="auto"/>
        </w:rPr>
      </w:pPr>
    </w:p>
    <w:p>
      <w:pPr>
        <w:ind w:left="1300" w:right="60" w:hanging="644"/>
        <w:spacing w:after="0" w:line="25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with the prior approval of the holders of Voting Shares or of the holders of Rights given in accordance with Section 5.1(i) or (j), as the case may be, at any time prior to the occurrence of a Flip-in Event as to which the application of Section 3.1 has not been waived pursuant to the provisions of this Section 5.1, elect to redeem all but not less than all of the then outstanding Rights at a redemption price of $0.00001 per Right appropriately adjusted in a manner analogous to the applicable adjustment provided for in Section 2.3 in the event that an event of the type analogous to any of the events described in Section 2.3 shall have occurred (such redemption price being herein referred to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ind w:left="644" w:right="20" w:hanging="644"/>
        <w:spacing w:after="0" w:line="255"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with the prior approval of the holders of Voting Shares given in accordance with Section 5.1(i), determine, at any time prior to the occurrence of a Flip-in Event as to which the application of Section 3.1 has not been waived pursuant to this Section 5.1, if such Flip-in Event would occur by reason of an acquisition of Voting Shares otherwise than pursuant to a Take-over Bid made by means of a take-over bid circular to all holders of record of Voting Shares and otherwise than in the circumstances set forth in Subsection 5.1(d), to waive the application of Section 3.1 to such Flip-in Event. In the event that the Board of Directors proposes such a waiver, the Board of Directors shall extend the Separation Time to a date subsequent to and not more than ten Business Days following the meeting of shareholders called to approve such waiver.</w:t>
      </w:r>
    </w:p>
    <w:p>
      <w:pPr>
        <w:spacing w:after="0" w:line="188" w:lineRule="exact"/>
        <w:rPr>
          <w:rFonts w:ascii="Times New Roman" w:cs="Times New Roman" w:eastAsia="Times New Roman" w:hAnsi="Times New Roman"/>
          <w:sz w:val="18"/>
          <w:szCs w:val="18"/>
          <w:color w:val="auto"/>
        </w:rPr>
      </w:pPr>
    </w:p>
    <w:p>
      <w:pPr>
        <w:ind w:left="644" w:right="40" w:hanging="644"/>
        <w:spacing w:after="0" w:line="254"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until the occurrence of a Flip-in Event upon prior written notice delivered to the Rights Agent, determine to waive the application of Section 3.1 to such particular Flip-in Event provided that the Flip-in Event would occur by reason of a Take-over Bid made by way of take-over bid circular sent to all holders of Voting Shares (which for greater certainty shall not include the circumstances described in Subsection 5.1(d)); provided that if the Board of Directors waives the application of Section 3.1 to a particular Flip-in Event pursuant to this Subsection 5.1(c), the Board of Directors shall be deemed to have waived the application of Section 3.1 to any other Flip-in Event subsequently occurring by reason of any Take-over Bid which is made by means of a take-over bid circular to all holders of Voting Shares prior to the expiry of any Take-over Bid in respect of which a waiver is, or is deemed to have been, granted under this Subsection 5.1(c).</w:t>
      </w:r>
    </w:p>
    <w:p>
      <w:pPr>
        <w:spacing w:after="0" w:line="191" w:lineRule="exact"/>
        <w:rPr>
          <w:rFonts w:ascii="Times New Roman" w:cs="Times New Roman" w:eastAsia="Times New Roman" w:hAnsi="Times New Roman"/>
          <w:sz w:val="18"/>
          <w:szCs w:val="18"/>
          <w:color w:val="auto"/>
        </w:rPr>
      </w:pPr>
    </w:p>
    <w:p>
      <w:pPr>
        <w:ind w:left="644" w:hanging="644"/>
        <w:spacing w:after="0" w:line="254"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Subsections 5.1(b) and (c) hereof, upon written notice to the Rights Agent, the Board of Directors may waive the application of Section 3.1 in respect of the occurrence of any Flip-in Event if the Board of Directors has determined within ten Trading Days following a Stock Acquisition Date that a Person became an Acquiring Person by inadvertence and without any intention to become, or knowledge that it would become, an Acquiring Person under this Agreement, and in the event such waiver is granted by the Board of Directors, such Stock Acquisition Date shall be deemed not to have occurred. Any such waiver pursuant to this Subsection</w:t>
      </w:r>
    </w:p>
    <w:p>
      <w:pPr>
        <w:spacing w:after="0" w:line="3" w:lineRule="exact"/>
        <w:rPr>
          <w:rFonts w:ascii="Times New Roman" w:cs="Times New Roman" w:eastAsia="Times New Roman" w:hAnsi="Times New Roman"/>
          <w:sz w:val="18"/>
          <w:szCs w:val="18"/>
          <w:color w:val="auto"/>
        </w:rPr>
      </w:pPr>
    </w:p>
    <w:p>
      <w:pPr>
        <w:ind w:left="644"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5.1(d) must be on the condition that such Person, within 14 days after the foregoing determination by the Board of Directors or such earlier or later date as the Board of Directors may determine (the “</w:t>
      </w:r>
      <w:r>
        <w:rPr>
          <w:rFonts w:ascii="Times New Roman" w:cs="Times New Roman" w:eastAsia="Times New Roman" w:hAnsi="Times New Roman"/>
          <w:sz w:val="18"/>
          <w:szCs w:val="18"/>
          <w:b w:val="1"/>
          <w:bCs w:val="1"/>
          <w:color w:val="auto"/>
        </w:rPr>
        <w:t>Disposition Date</w:t>
      </w:r>
      <w:r>
        <w:rPr>
          <w:rFonts w:ascii="Times New Roman" w:cs="Times New Roman" w:eastAsia="Times New Roman" w:hAnsi="Times New Roman"/>
          <w:sz w:val="18"/>
          <w:szCs w:val="18"/>
          <w:color w:val="auto"/>
        </w:rPr>
        <w:t>”), has reduced its Beneficial Ownership of Voting Shares such that the Person is no longer an Acquiring Person. If the Person remains an Acquiring Person at the close of business on the Disposition Date, the Disposition Date shall be deemed to be the date of occurrence of a further Stock Acquisition Date and Section 3.1 shall apply thereto.</w:t>
      </w:r>
    </w:p>
    <w:p>
      <w:pPr>
        <w:spacing w:after="0" w:line="186"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without further formality, be deemed to have elected to redeem the Rights at the Redemption Price on the date that a Person which has made a Permitted Bid, a Competing Permitted Bid or a Take-over Bid in respect of which the Board of Directors has waived, or is deemed to have waived, pursuant to Subsection 5.1(c) the application of Section 3.1, takes up and pays for Voting Shares in connection with such Permitted Bid, Competing Permitted Bid or Take-over bid, as the case may be.</w:t>
      </w:r>
    </w:p>
    <w:p>
      <w:pPr>
        <w:spacing w:after="0" w:line="179" w:lineRule="exact"/>
        <w:rPr>
          <w:rFonts w:ascii="Times New Roman" w:cs="Times New Roman" w:eastAsia="Times New Roman" w:hAnsi="Times New Roman"/>
          <w:sz w:val="18"/>
          <w:szCs w:val="18"/>
          <w:color w:val="auto"/>
        </w:rPr>
      </w:pPr>
    </w:p>
    <w:p>
      <w:pPr>
        <w:ind w:left="644" w:right="20" w:hanging="644"/>
        <w:spacing w:after="0" w:line="255"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Take-over Bid that is not a Permitted Bid is withdrawn or otherwise terminated after the Separation Time has occurred and prior to the occurrence of a Flip-in Event, the Board of Directors may elect to redeem all the outstanding Rights at the Redemption Price. Upon the Rights being redeemed pursuant to this Subsection 5.1(f),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 and the Corporation shall be deemed to have issued replacement Rights to the holders of its then outstanding Common Shares.</w:t>
      </w:r>
    </w:p>
    <w:p>
      <w:pPr>
        <w:spacing w:after="0" w:line="188"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elects or is deemed to have elected to redeem the Rights, and, in circumstances in which Subsection 5.1(a) is applicable, such redemption is approved by the holders of Voting Shares or the holders of Rights in accordance with Subsection 5.1(i) or (j), as the case may be, the right to exercise the Rights, will thereupon, without further action and without notice, terminate and the only right thereafter of the holders of Rights shall be to receive the Redemption Price.</w:t>
      </w:r>
    </w:p>
    <w:p>
      <w:pPr>
        <w:spacing w:after="0" w:line="179" w:lineRule="exact"/>
        <w:rPr>
          <w:rFonts w:ascii="Times New Roman" w:cs="Times New Roman" w:eastAsia="Times New Roman" w:hAnsi="Times New Roman"/>
          <w:sz w:val="18"/>
          <w:szCs w:val="18"/>
          <w:color w:val="auto"/>
        </w:rPr>
      </w:pPr>
    </w:p>
    <w:p>
      <w:pPr>
        <w:ind w:left="644" w:right="20" w:hanging="644"/>
        <w:spacing w:after="0" w:line="254"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Business Days after the Board of Directors elects or is deemed to elect to redeem the Rights or if Subsection 5.1(a) is applicable within ten Business Days after the holders of Common Shares or the holders of Rights have approved a redemption of Rights in accordance with Section 5.1(i) or (j), as the case may be,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 The Corporation may not redeem, acquire or purchase for value any Rights at any time in any manner other than specifically set forth in this Section 5.1 or in connection with the purchase of Common Shares prior to the Separation Time.</w:t>
      </w:r>
    </w:p>
    <w:p>
      <w:pPr>
        <w:spacing w:after="0" w:line="188" w:lineRule="exact"/>
        <w:rPr>
          <w:rFonts w:ascii="Times New Roman" w:cs="Times New Roman" w:eastAsia="Times New Roman" w:hAnsi="Times New Roman"/>
          <w:sz w:val="18"/>
          <w:szCs w:val="18"/>
          <w:color w:val="auto"/>
        </w:rPr>
      </w:pPr>
    </w:p>
    <w:p>
      <w:pPr>
        <w:ind w:left="644" w:right="160" w:hanging="644"/>
        <w:spacing w:after="0" w:line="258" w:lineRule="auto"/>
        <w:tabs>
          <w:tab w:leader="none" w:pos="64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of Rights pursuant to Subsection 5.1(a) or a waiver of a Flip-in Event pursuant to Section 5.1(b) is proposed at any time prior to the Separation Time, such redemption or waiver shall be submitted for approval to the holders of Voting Shares. Such approval shall be deemed to have been given if the redemption or waiver is approved by the affirmative vote of a majority of the votes cast by Independent Shareholders represented in person or by proxy at a meeting of such holders duly held in accordance with applicable laws and the Corporation’s by-laws.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4" w:name="page105"/>
    <w:bookmarkEnd w:id="104"/>
    <w:p>
      <w:pPr>
        <w:ind w:left="1300" w:right="20" w:hanging="644"/>
        <w:spacing w:after="0" w:line="255"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of Rights pursuant to Subsection 5.1(a) is proposed at any time after the Separation Time, such redemption shall be submitted for approval to the holders of Rights. Such approval shall be deemed to have been given if the redemption is approved by holders of Rights by a majority of the votes cast by the holders of Rights represented in person or by proxy at and entitled to vote at a meeting of such holders. For the purposes hereof, each outstanding Right (other than Rights which are Beneficially Owned by any Person referred to in Subsections (i) to (v) inclusive of the definition of Independent Shareholders)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obligated to make a payment of the Redemption Price to any holder of Rights unless such holder is entitled to receive at least $10 in respect of all of the Rights held by such holder.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Expiration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 Person shall have any rights whatsoever pursuant to this Agreement or in respect of any Right after the Expiration Time, except the Rights Agent as specified in Section 4.1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Issuance of New Rights Certificates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Supplements and Amendments</w:t>
      </w:r>
    </w:p>
    <w:p>
      <w:pPr>
        <w:spacing w:after="0" w:line="229"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without the prior approval of the holders of Voting Shares or Rights, make amendments to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clerical or typographical error;</w:t>
      </w:r>
    </w:p>
    <w:p>
      <w:pPr>
        <w:spacing w:after="0" w:line="225" w:lineRule="exact"/>
        <w:rPr>
          <w:rFonts w:ascii="Times New Roman" w:cs="Times New Roman" w:eastAsia="Times New Roman" w:hAnsi="Times New Roman"/>
          <w:sz w:val="18"/>
          <w:szCs w:val="18"/>
          <w:color w:val="auto"/>
        </w:rPr>
      </w:pPr>
    </w:p>
    <w:p>
      <w:pPr>
        <w:ind w:left="1960" w:right="800" w:hanging="656"/>
        <w:spacing w:after="0" w:line="282" w:lineRule="auto"/>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required to maintain the validity of this Agreement as a result of any change in any applicable legislation or regulations or rules thereunder; or</w:t>
      </w:r>
    </w:p>
    <w:p>
      <w:pPr>
        <w:spacing w:after="0" w:line="161" w:lineRule="exact"/>
        <w:rPr>
          <w:rFonts w:ascii="Times New Roman" w:cs="Times New Roman" w:eastAsia="Times New Roman" w:hAnsi="Times New Roman"/>
          <w:sz w:val="18"/>
          <w:szCs w:val="18"/>
          <w:color w:val="auto"/>
        </w:rPr>
      </w:pPr>
    </w:p>
    <w:p>
      <w:pPr>
        <w:ind w:left="1960" w:hanging="656"/>
        <w:spacing w:after="0" w:line="261" w:lineRule="auto"/>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defective or inconsistent with any other provision herein, or to make any other provisions with respect to matters or questions arising under this Agreement, provided that such action pursuant to this paragraph (iii) shall not adversely affect the interests of the holders of Voting Shares or Rights in any material respect.</w:t>
      </w:r>
    </w:p>
    <w:p>
      <w:pPr>
        <w:spacing w:after="0" w:line="180" w:lineRule="exact"/>
        <w:rPr>
          <w:sz w:val="20"/>
          <w:szCs w:val="20"/>
          <w:color w:val="auto"/>
        </w:rPr>
      </w:pPr>
    </w:p>
    <w:p>
      <w:pPr>
        <w:ind w:left="1300" w:right="560"/>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Section 5.4 to the contrary, no such supplement or amendment shall be made to the provisions of Article 4 except with the written concurrence of the Rights Agent to such supplement or amendment.</w:t>
      </w:r>
    </w:p>
    <w:p>
      <w:pPr>
        <w:spacing w:after="0" w:line="162" w:lineRule="exact"/>
        <w:rPr>
          <w:sz w:val="20"/>
          <w:szCs w:val="20"/>
          <w:color w:val="auto"/>
        </w:rPr>
      </w:pPr>
    </w:p>
    <w:p>
      <w:pPr>
        <w:ind w:left="1300" w:right="60" w:hanging="644"/>
        <w:spacing w:after="0" w:line="256"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5.4(a), the Corporation may, with the prior approval of the holders of Voting Shares, at any time before the Separation Time, supplement, amend, vary, rescind or delete any of the provisions of this Agreement and the Rights (whether or not such action would materially adversely affect the interests of the holders of Rights generally). Any approval of the holders of Voting Shares shall be deemed to have been given if the action requiring such approval is authorized by the affirmative vote of a majority of the votes cast by Independent Shareholders present or represented at and entitled to be voted at a meeting of the holders of Voting Shares duly called and held in compliance with applicable laws and the articles and by-laws of the Corporation.</w:t>
      </w:r>
    </w:p>
    <w:p>
      <w:pPr>
        <w:spacing w:after="0" w:line="187" w:lineRule="exact"/>
        <w:rPr>
          <w:rFonts w:ascii="Times New Roman" w:cs="Times New Roman" w:eastAsia="Times New Roman" w:hAnsi="Times New Roman"/>
          <w:sz w:val="18"/>
          <w:szCs w:val="18"/>
          <w:color w:val="auto"/>
        </w:rPr>
      </w:pPr>
    </w:p>
    <w:p>
      <w:pPr>
        <w:ind w:left="1300" w:right="80" w:hanging="644"/>
        <w:spacing w:after="0" w:line="254"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5.4(a), the Corporation may, with the prior approval of the holders of Rights, at any time on or after the Separation Time, supplement, amend, vary, rescind or delete any of the provisions of this Agreement and the Rights (whether or not such action would materially adversely affect the interests of the holders of Rights generally). 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made by the Corporation to this Agreement pursuant to Subsection 5.4(a)(ii) shall:</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before the Separation Time, be submitted to the shareholders of the Corporation at the next meeting of shareholders and the shareholders may, by the majority referred to in Subsection 5.4(b), confirm or reject such amendment;</w:t>
      </w:r>
    </w:p>
    <w:p>
      <w:pPr>
        <w:spacing w:after="0" w:line="161"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after the Separation Time, be submitted to the holders of Rights at a meeting to be called for on a date not later than immediately following the next meeting of shareholders of the Corporation and the holders of Rights may, by resolution passed by the majority referred to in Subsection 5.4(c), confirm or reject such amendment.</w:t>
      </w:r>
    </w:p>
    <w:p>
      <w:pPr>
        <w:spacing w:after="0" w:line="176" w:lineRule="exact"/>
        <w:rPr>
          <w:sz w:val="20"/>
          <w:szCs w:val="20"/>
          <w:color w:val="auto"/>
        </w:rPr>
      </w:pPr>
    </w:p>
    <w:p>
      <w:pPr>
        <w:ind w:left="1300" w:right="300"/>
        <w:spacing w:after="0" w:line="254" w:lineRule="auto"/>
        <w:rPr>
          <w:sz w:val="20"/>
          <w:szCs w:val="20"/>
          <w:color w:val="auto"/>
        </w:rPr>
      </w:pPr>
      <w:r>
        <w:rPr>
          <w:rFonts w:ascii="Times New Roman" w:cs="Times New Roman" w:eastAsia="Times New Roman" w:hAnsi="Times New Roman"/>
          <w:sz w:val="18"/>
          <w:szCs w:val="18"/>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(or any adjournment of such meeting) at which it was rejected or to which it should have been but was not submitted or from and after the date of the meeting of holders of Rights that should have been but was not held, and no subsequent resolution of the Board of Directors to amend this Agreement to substantially the same effect shall be effective until confirmed by the shareholders or holders of Rights as the case may be.</w:t>
      </w:r>
    </w:p>
    <w:p>
      <w:pPr>
        <w:spacing w:after="0" w:line="192" w:lineRule="exact"/>
        <w:rPr>
          <w:sz w:val="20"/>
          <w:szCs w:val="20"/>
          <w:color w:val="auto"/>
        </w:rPr>
      </w:pPr>
    </w:p>
    <w:p>
      <w:pPr>
        <w:ind w:left="1300" w:right="100" w:hanging="644"/>
        <w:spacing w:after="0" w:line="261"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give notice in writing to the Rights Agent of any supplement, amendment, deletion, variation or rescission to this Agreement pursuant to this Section 5.4 within five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179"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supplement to this Agreement shall be subject to the receipt of any requisite approvals or consent from any applicable regulatory authority including, without limitation, any necessary approvals of any stock exchange on which the Common Shares are listed for trading.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Fractional Rights and Fractional Shares</w:t>
      </w:r>
    </w:p>
    <w:p>
      <w:pPr>
        <w:spacing w:after="0" w:line="229" w:lineRule="exact"/>
        <w:rPr>
          <w:sz w:val="20"/>
          <w:szCs w:val="20"/>
          <w:color w:val="auto"/>
        </w:rPr>
      </w:pPr>
    </w:p>
    <w:p>
      <w:pPr>
        <w:ind w:left="1300" w:hanging="644"/>
        <w:spacing w:after="0" w:line="258"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183" w:lineRule="exact"/>
        <w:rPr>
          <w:rFonts w:ascii="Times New Roman" w:cs="Times New Roman" w:eastAsia="Times New Roman" w:hAnsi="Times New Roman"/>
          <w:sz w:val="18"/>
          <w:szCs w:val="18"/>
          <w:color w:val="auto"/>
        </w:rPr>
      </w:pPr>
    </w:p>
    <w:p>
      <w:pPr>
        <w:ind w:left="1300" w:right="140" w:hanging="644"/>
        <w:spacing w:after="0" w:line="258"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183"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make any payments in lieu of issuing fractions of Rights or Common Shares pursuant to paragraph (a) or (b) above, respectively, unless and until the Corporation shall have provided to the Rights Agent the amount of cash to be paid in lieu of issuing such fractional Rights or Common Shares, as the case may be.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Rights of Action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Certificate and in this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Regulatory Approvals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obligation of the Corporation or action or event contemplated by this Agreement shall be subject to the receipt of any requisite approval or consent from any governmental or regulatory authority, including without limiting the generality of the foregoing, any necessary approvals of the Toronto Stock Exchange, or any other applicable stock exchange or market or national securities quotation system. For greater certainty, unless advised in writing by the Corporation to the contrary, the Rights Agent shall be entitled to assume that all such required approvals and consents have been obtained.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5.8 Notice of Proposed Actions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case the Corporation shall propose after the Separation Time and prior to the Expiration Time to effect or permit (in cases where the Corporation’s permission is required) any Flip-in Event or to effect the liquidation, dissolution or winding up of the Corporation or the sale of all or substantially all of the Corporation’s assets, then, in each such case, the Corporation shall give to each holder of a Right, in accordance with Section 5.9 hereof, a notice of such proposed action, which shall specify the date on which such Flip-in Event, liquidation, dissolution, or winding up is to take place, and such notice shall be so given at least 20 Business Days prior to the date of taking of such proposed action by the Corporation.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1300" w:right="140" w:hanging="644"/>
        <w:spacing w:after="0" w:line="261"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email or other form of recorded electronic communication, charges prepaid and confirmed in writing, as follows: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Peterson McVicar LLP</w:t>
      </w:r>
    </w:p>
    <w:p>
      <w:pPr>
        <w:spacing w:after="0" w:line="27" w:lineRule="exact"/>
        <w:rPr>
          <w:rFonts w:ascii="Times New Roman" w:cs="Times New Roman" w:eastAsia="Times New Roman" w:hAnsi="Times New Roman"/>
          <w:sz w:val="18"/>
          <w:szCs w:val="18"/>
          <w:color w:val="auto"/>
        </w:rPr>
      </w:pPr>
    </w:p>
    <w:p>
      <w:pPr>
        <w:ind w:left="1300" w:right="78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M5C 1T4</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Dennis Peterson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dhp@petelaw.com</w:t>
      </w:r>
    </w:p>
    <w:p>
      <w:pPr>
        <w:spacing w:after="0" w:line="206"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email or other form of recorded electronic communication, charges prepaid and confirmed in writing, as follows: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TSX Trust Company</w:t>
      </w:r>
    </w:p>
    <w:p>
      <w:pPr>
        <w:spacing w:after="0" w:line="27" w:lineRule="exact"/>
        <w:rPr>
          <w:rFonts w:ascii="Times New Roman" w:cs="Times New Roman" w:eastAsia="Times New Roman" w:hAnsi="Times New Roman"/>
          <w:sz w:val="18"/>
          <w:szCs w:val="18"/>
          <w:color w:val="auto"/>
        </w:rPr>
      </w:pPr>
    </w:p>
    <w:p>
      <w:pPr>
        <w:ind w:left="1300" w:right="76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301 – 100 Adelaide Street West Toronto, Ontario M5H 1S3</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Vice President, Trust Services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tmxestaff-corporatetrust@tmx.com</w:t>
      </w:r>
    </w:p>
    <w:p>
      <w:pPr>
        <w:spacing w:after="0" w:line="206"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183" w:lineRule="exact"/>
        <w:rPr>
          <w:rFonts w:ascii="Times New Roman" w:cs="Times New Roman" w:eastAsia="Times New Roman" w:hAnsi="Times New Roman"/>
          <w:sz w:val="18"/>
          <w:szCs w:val="18"/>
          <w:color w:val="auto"/>
        </w:rPr>
      </w:pPr>
    </w:p>
    <w:p>
      <w:pPr>
        <w:ind w:left="1300" w:right="20" w:hanging="644"/>
        <w:spacing w:after="0" w:line="256"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telegraphing, telecopying or sending of the same by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Rights of Board and Corporation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Without limiting the generality of the foregoing, nothing contained herein shall be construed to suggest or imply that the Board of Directors shall not be entitled to recommend that holders of Voting Shares reject or accept any Take-over Bid or take any other action (including, without limitation, the commencement, prosecution, defence or settlement of any litigation and the submission of additional or alternative Take-over Bids or other proposals to the holders of Voting Shares) with respect to any Take-over Bid or otherwise that the Board of Directors believes is necessary or appropriate in the exercise of its fiduciary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Costs of Enforcement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Corporation agrees that if the Corporation fails to fulfil any of its obligations pursuant to this Agreement, then the Corporation will reimburse the holder of any Rights for the costs and expenses (including legal fees) incurred by such holder, on a solicitor and his or her own client basis, to enforce his or her rights pursuant to any Rights or this Agreement.</w:t>
      </w:r>
    </w:p>
    <w:p>
      <w:pPr>
        <w:spacing w:after="0" w:line="3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Corporation or the Rights Agent shall bind and enure to the benefit of their respective successors and assigns hereunder.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Benefits of this Agreement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Les parties aux présentes ont exigé que la présente convention ainsi que tous les documents et avis qui s’y rattachent ou qui en coulent soient redigés en langue anglaise. </w:t>
      </w:r>
      <w:r>
        <w:rPr>
          <w:rFonts w:ascii="Times New Roman" w:cs="Times New Roman" w:eastAsia="Times New Roman" w:hAnsi="Times New Roman"/>
          <w:sz w:val="18"/>
          <w:szCs w:val="18"/>
          <w:color w:val="auto"/>
        </w:rPr>
        <w:t>The parties hereto have required that this Agreement and all documents and notices related thereto or resulting therefrom be drawn up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English.</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Agreement is effective and in full force and effect in accordance with its terms and conditions from and after the Effective Date. If this Agreement is not confirmed by resolution passed by a majority of the votes cast by the Independent Shareholders who vote in respect of such confirmation at a meeting of shareholders to be held not later than six months from the Effective Date, then this Agreement and all outstanding Rights shall terminate and be void and of no further force and effect on and from the date which is the earlier of (a) the date of termination of the meeting called to consider the confirmation of this Agreement and (b) six months from the Effective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Reconfirmation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Agreement must be reconfirmed by a resolution passed by a majority of the votes cast by Independent Shareholders who vote in respect of such reconfirmation at every third annual meeting of the Corporation following the meeting at which this Agreement is confirmed. If this Agreement is not so reconfirmed or is not presented for reconfirmation at such annual meeting, then this Agreement and all outstanding Rights shall terminate and be void and of no further force and effect on and from the date of termination of the applicable annual meeting; provided that termination shall not occur if a Flip-in Event has occurred (other than a Flip-in Event which has been waived) prior to the date upon which this Agreement would otherwise terminate pursuant to this Section 5.18.</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5.19</w:t>
      </w:r>
      <w:r>
        <w:rPr>
          <w:sz w:val="20"/>
          <w:szCs w:val="20"/>
          <w:color w:val="auto"/>
        </w:rPr>
        <w:tab/>
      </w:r>
      <w:r>
        <w:rPr>
          <w:rFonts w:ascii="Times New Roman" w:cs="Times New Roman" w:eastAsia="Times New Roman" w:hAnsi="Times New Roman"/>
          <w:sz w:val="17"/>
          <w:szCs w:val="17"/>
          <w:b w:val="1"/>
          <w:bCs w:val="1"/>
          <w:color w:val="auto"/>
        </w:rPr>
        <w:t>Determinations and Actions by the Board of Directors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actions, calculations and determinations (including all omissions with respect to the foregoing) which are done or made or approved by the Board of Directors in connection herewith, in good faith, shall not subject the Board of Directors or any director of the Corporation to any liability to the holders of the Rights.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8" w:name="page109"/>
    <w:bookmarkEnd w:id="10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5.20</w:t>
      </w:r>
      <w:r>
        <w:rPr>
          <w:sz w:val="20"/>
          <w:szCs w:val="20"/>
          <w:color w:val="auto"/>
        </w:rPr>
        <w:tab/>
      </w:r>
      <w:r>
        <w:rPr>
          <w:rFonts w:ascii="Times New Roman" w:cs="Times New Roman" w:eastAsia="Times New Roman" w:hAnsi="Times New Roman"/>
          <w:sz w:val="17"/>
          <w:szCs w:val="17"/>
          <w:b w:val="1"/>
          <w:bCs w:val="1"/>
          <w:color w:val="auto"/>
        </w:rPr>
        <w:t>Declaration as to Non-Canadian Holders and Non-U.S. 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or the United States, the Board of Directors acting in good faith shall take such actions as it may deem appropriate to ensure that such compliance is not required, including without limitation establishing procedures for the issuance to a Canadian resident Fiduciary of Rights or securities issuable on exercise of Rights, the holding thereof in trust for the Persons entitled thereto (but reserving to the Fiduciary or to the Fiduciary and the Corporation, as the Corporation may determine, absolute discretion with respect thereto) and the sale thereof and remittance of the proceeds of such sale, if any, to the Persons entitled thereto. In no event shall the Corporation or the Rights Agent be required to issue or deliver Rights or securities issuable on exercise of Rights to persons who are citizens, residents or nationals of any jurisdiction other than Canada or the United States, in which such issue or delivery would be unlawful without registration of the relevant Persons or securities for such purposes.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be of the essence in this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Execution in Counterparts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RIGHTS PLAN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Rights Certificate]</w:t>
      </w:r>
    </w:p>
    <w:p>
      <w:pPr>
        <w:spacing w:after="0" w:line="225" w:lineRule="exact"/>
        <w:rPr>
          <w:sz w:val="20"/>
          <w:szCs w:val="20"/>
          <w:color w:val="auto"/>
        </w:rPr>
      </w:pPr>
    </w:p>
    <w:p>
      <w:pPr>
        <w:spacing w:after="0"/>
        <w:tabs>
          <w:tab w:leader="none" w:pos="9980" w:val="left"/>
        </w:tabs>
        <w:rPr>
          <w:sz w:val="20"/>
          <w:szCs w:val="20"/>
          <w:color w:val="auto"/>
        </w:rPr>
      </w:pPr>
      <w:r>
        <w:rPr>
          <w:rFonts w:ascii="Times New Roman" w:cs="Times New Roman" w:eastAsia="Times New Roman" w:hAnsi="Times New Roman"/>
          <w:sz w:val="18"/>
          <w:szCs w:val="18"/>
          <w:color w:val="auto"/>
        </w:rPr>
        <w:t>Certificate No. _____</w:t>
      </w:r>
      <w:r>
        <w:rPr>
          <w:sz w:val="20"/>
          <w:szCs w:val="20"/>
          <w:color w:val="auto"/>
        </w:rPr>
        <w:tab/>
      </w:r>
      <w:r>
        <w:rPr>
          <w:rFonts w:ascii="Times New Roman" w:cs="Times New Roman" w:eastAsia="Times New Roman" w:hAnsi="Times New Roman"/>
          <w:sz w:val="18"/>
          <w:szCs w:val="18"/>
          <w:color w:val="auto"/>
        </w:rPr>
        <w:t>________ Rights</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THE RIGHTS ARE SUBJECT TO REDEMPTION, AT THE OPTION OF THE CORPORATION, AND AMENDMENT OR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 or registered assigns, is the registered holder of the number of Rights set forth above, each of which entitles the registered</w:t>
      </w:r>
    </w:p>
    <w:p>
      <w:pPr>
        <w:spacing w:after="0" w:line="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holder thereof, subject to the terms, provisions and conditions of the Shareholder Rights Plan Agreement dated as of July 24, 2024, as the same may be amended or supplemented from time to time (the “Shareholder Rights Agreement”), between Bitfarms Ltd., a corporation continued under the laws of the Province of Ontario (the “Corporation”) and TSX Trust Company, a trust company existing under the laws of Canada (the “Rights Agent”)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of the Corporation (a “Common Share”) at the Exercise Price referred to below, upon presentation and surrender of this Rights Certificate with the Form of Election to Exercise (in the form provided hereinafter) duly executed and submitted to the Rights Agent, together with payment of the Exercise Price by certified cheque, bank draft or money order payable to the Corporation, at the Rights Agent’s principal office in any of the city of Toronto. Until adjustment thereof in certain events as provided in the Shareholder Rights Agreement, the Exercise Price shall be:</w:t>
      </w:r>
    </w:p>
    <w:p>
      <w:pPr>
        <w:spacing w:after="0" w:line="177" w:lineRule="exact"/>
        <w:rPr>
          <w:sz w:val="20"/>
          <w:szCs w:val="20"/>
          <w:color w:val="auto"/>
        </w:rPr>
      </w:pPr>
    </w:p>
    <w:p>
      <w:pPr>
        <w:ind w:left="1300" w:right="920" w:hanging="644"/>
        <w:spacing w:after="0" w:line="282"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 an amount equal to three times the Market Price (as such term is defined in the Shareholder Rights Agreement), from time to time, per Common Share;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 amount equal to three times the Market Price, as at the Separation Time, per Common Share.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certain circumstances described in the Shareholder Rights Agreement, each Right evidenced hereby may entitle the registered holder thereof to purchase or receive assets, debt securities or shares in the capital of the Corporation other than Common Shares, or more or less than one Common Share, all as provided in the Shareholder Rights Agreement.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 and are available upon request.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Shareholder Rights Agreement, the Rights evidenced by this Rights Certificate may be, and under certain circumstances are required to be, redeemed by the Corporation at a redemption price of $0.00001 per Right.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fractional Common Shares will be issued upon the exercise of any Right or Rights evidenced hereby, but in lieu thereof a cash payment will be made, as provided in the Shareholder Rights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spacing w:after="0" w:line="256" w:lineRule="auto"/>
        <w:rPr>
          <w:sz w:val="20"/>
          <w:szCs w:val="20"/>
          <w:color w:val="auto"/>
        </w:rPr>
      </w:pPr>
      <w:r>
        <w:rPr>
          <w:rFonts w:ascii="Times New Roman" w:cs="Times New Roman" w:eastAsia="Times New Roman" w:hAnsi="Times New Roman"/>
          <w:sz w:val="18"/>
          <w:szCs w:val="18"/>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corporate action,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the Rights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the facsimile signature of the proper officer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2" w:name="page113"/>
    <w:bookmarkEnd w:id="11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transfer the Rights Certificate.)</w:t>
      </w:r>
    </w:p>
    <w:p>
      <w:pPr>
        <w:spacing w:after="0" w:line="22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7"/>
          <w:szCs w:val="17"/>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17145</wp:posOffset>
            </wp:positionV>
            <wp:extent cx="17056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17145</wp:posOffset>
            </wp:positionV>
            <wp:extent cx="19970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represented by this Rights Certificate, together with all right, title and interest therein, and does hereby irrevocably constitute and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 as attorney, to transfer the within Rights on the books of the Corporation, with full power of substitution.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completed if true.)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252095</wp:posOffset>
            </wp:positionV>
            <wp:extent cx="28460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attached to each Rights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4" w:name="page115"/>
    <w:bookmarkEnd w:id="114"/>
    <w:p>
      <w:pPr>
        <w:ind w:left="4080"/>
        <w:spacing w:after="0"/>
        <w:rPr>
          <w:sz w:val="20"/>
          <w:szCs w:val="20"/>
          <w:color w:val="auto"/>
        </w:rPr>
      </w:pPr>
      <w:r>
        <w:rPr>
          <w:rFonts w:ascii="Times New Roman" w:cs="Times New Roman" w:eastAsia="Times New Roman" w:hAnsi="Times New Roman"/>
          <w:sz w:val="18"/>
          <w:szCs w:val="18"/>
          <w:b w:val="1"/>
          <w:bCs w:val="1"/>
          <w:color w:val="auto"/>
        </w:rPr>
        <w:t>FORM OF ELECTION TO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exercise the Rights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_____________________________ whole Rights represented by the attached Rights Certificate to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purchase the Common Shares or other securities, if applicable, issuable upon the exercise of such Rights and requests that certificates for such securities be issued in the name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and Province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Insurance Number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and Province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Insurance Number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00" w:lineRule="exact"/>
        <w:rPr>
          <w:sz w:val="20"/>
          <w:szCs w:val="20"/>
          <w:color w:val="auto"/>
        </w:rPr>
      </w:pPr>
    </w:p>
    <w:p>
      <w:pPr>
        <w:spacing w:after="0" w:line="2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6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completed if true.)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252095</wp:posOffset>
            </wp:positionV>
            <wp:extent cx="28460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attached to each Rights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6" w:name="page117"/>
    <w:bookmarkEnd w:id="11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the certification set forth above in the Forms of Assignment and Election to Exercise is not completed, the Corporation will deem the Beneficial Owner of the Rights evidenced by this Rights Certificate to be an Acquiring Person or an Affiliate or Associate thereof (as defined in the Shareholder Rights Agreement).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33" w:right="6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168275</wp:posOffset>
            </wp:positionV>
            <wp:extent cx="5829300" cy="771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58293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 Mesdames:</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have acted as Canadian counsel to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organized pursuant to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(Ontario)(the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filed on March 12, 2025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 under the U.S.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rules and regulations thereunder, relating to the registration of up to 3,892,853 common shares of Bitfarms, no par value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in connection with the Stronghold Digital Mining, Inc. Omnibus Incentive Plan and Stronghold Digital Mining, Inc. Amended and Restated 2021 Long Term Incentive Plan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This opinion is being delivered in connection with the Registration Statement, to which this opinion appears as an exhibit.</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examined the Registration Statement and the exhibits thereto and the Plan and, for the purposes of this opinion, we have also examined originals or copies of, certified or otherwise identified to our satisfaction, and relied upon, the following documents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hanging="509"/>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continuance, articles of incorporation, and by-laws of the Corporation;</w:t>
      </w:r>
    </w:p>
    <w:p>
      <w:pPr>
        <w:spacing w:after="0" w:line="225"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of the Corporation’s directors relating to the matters referred to herein;</w:t>
      </w:r>
    </w:p>
    <w:p>
      <w:pPr>
        <w:spacing w:after="0" w:line="225"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status dated March 18, 2025 issued by the Director under the OBCA with respect to the Corporation;</w:t>
      </w:r>
    </w:p>
    <w:p>
      <w:pPr>
        <w:spacing w:after="0" w:line="225"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the Corporation; and</w:t>
      </w:r>
    </w:p>
    <w:p>
      <w:pPr>
        <w:spacing w:after="0" w:line="225"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statutes, regulations, public and corporate records as we have deemed appropriate to give this opinion.</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With respect to the accuracy of factual matters material to this opinion, we have relied upon the Documents, without independent investigation of the matters provided for therein for the purpose of providing our opinion.</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such examination, we have assumed without any independent investigation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all such latter documents. We have also assumed that at or prior to the time of the issuance and delivery of any Shares, the Registration Statement will have been declared effective under the Act and that such Registration Statement will not have been modified or rescinded, and that there will not have occurred any change in law affecting the validity of the issuance of the Shares. We have not, however, undertaken any independent investigation as to any factual matter set forth in any of the foregoing and as to questions of fact in respect of the opinions hereinafter expressed, we have relied solely upon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131445</wp:posOffset>
            </wp:positionV>
            <wp:extent cx="582930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color w:val="auto"/>
        </w:rPr>
        <w:t>We are qualified to carry on the practice of law in the Province of Ontario and we express no opinion as to any laws, or matters governed by any laws, other than the laws of the Province of Ontario and the federal laws of Canada applicable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and relying upon the foregoing, and subject to the qualifications, assumptions and limitations stated herein, we are of the opinion that the issuance of the Shares has been duly authorized and, when the Shares shall have been issued in accordance with the terms of the Plans, the Shares will be validly issued as fully paid and non-assessable.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the foregoing consent, we do not admit that we are in the category of persons whose consent is required under Section 7 of the Act or the rules and regulations of the SEC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Peterson McVicar LLP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Peterson McVicar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Bitfarms Ltd. (the Company) of our report dated December 9, 2024, relating to the restated consolidated financial statements, which appears in Exhibit 99.2 to the Company’s Amended Annual Report on Form 40-F/A for the year ended December 31, 2023.</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also consent to reference to us under the heading “Interests of Experts,” which appears in the Annual Information Form filed as Exhibit 99.1 of the Bitfarms Ltd.’s Amended Annual Report on Form 40-F/A for the year ended December 31, 2023, which is incorporated by reference in such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ectPr>
          <w:pgSz w:w="11900" w:h="16838" w:orient="portrait"/>
          <w:cols w:equalWidth="0" w:num="1">
            <w:col w:w="11240"/>
          </w:cols>
          <w:pgMar w:left="320" w:top="117" w:right="339" w:bottom="1440" w:gutter="0" w:footer="0" w:header="0"/>
        </w:sectPr>
      </w:pPr>
    </w:p>
    <w:bookmarkStart w:id="120" w:name="page121"/>
    <w:bookmarkEnd w:id="120"/>
    <w:p>
      <w:pPr>
        <w:ind w:left="1018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no</w:t>
            </w:r>
          </w:p>
        </w:tc>
        <w:tc>
          <w:tcPr>
            <w:tcW w:w="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3,892,551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4,437,508.14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par value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no</w:t>
            </w:r>
          </w:p>
        </w:tc>
        <w:tc>
          <w:tcPr>
            <w:tcW w:w="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par 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7"/>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7"/>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4,442,264.64</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680.11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Offering Note(s)</w:t>
      </w:r>
    </w:p>
    <w:p>
      <w:pPr>
        <w:spacing w:after="0" w:line="83" w:lineRule="exact"/>
        <w:rPr>
          <w:sz w:val="20"/>
          <w:szCs w:val="20"/>
          <w:color w:val="auto"/>
        </w:rPr>
      </w:pPr>
    </w:p>
    <w:p>
      <w:pPr>
        <w:jc w:val="both"/>
        <w:ind w:left="360" w:hanging="292"/>
        <w:spacing w:after="0" w:line="254" w:lineRule="auto"/>
        <w:tabs>
          <w:tab w:leader="none" w:pos="3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416(a) under the Securities Act of 1933, as amended (the “Securities Act”), the registration statement to which this exhibit relates shall also cover such indeterminate number of additional common shares, no par value (the “Common Shares”) of Bitfarms Ltd. (the “Registrant”) as may become issuable under the Stronghold Digital Mining, Inc. Omnibus Incentive Plan (the “Plan”) as a result of any stock split, stock distribution, recapitalization or similar transaction effected without the Registrant’s receipt of consideration that result in an increase in the number of outstanding Common Shares. Represents 2,002,551 Common Shares reserved for issuance in connection with awards issuable under the Plan and 1,890,000 Common Shares issuable upon exercise of certain time-based restricted stock units outstanding under the Plan. Estimated solely for the purpose of calculating the registration fee pursuant to Rule 457(c) and (h) under the Securities Act on the basis of the average of the high and low sale prices of the Common Shares on the Nasdaq Stock Market LLC on March 13, 2025, which was $1.14. Represents 302 Common Shares issuable pursuant to stock options granted under the Plan that have not yet been exercised.</w:t>
      </w:r>
    </w:p>
    <w:p>
      <w:pPr>
        <w:spacing w:after="0" w:line="80"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302 Common Shares issuable pursuant to stock options granted under the Plan that have not yet been exercised. In accordance with paragraph (h)(1) of Rule 457 under the Securities Act, the maximum offering price per Common Share is the option exercise price.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lowerLetter"/>
      <w:start w:val="1"/>
    </w:lvl>
  </w:abstractNum>
  <w:abstractNum w:abstractNumId="1">
    <w:nsid w:val="5F5E7FD0"/>
    <w:multiLevelType w:val="hybridMultilevel"/>
    <w:lvl w:ilvl="0">
      <w:lvlJc w:val="left"/>
      <w:lvlText w:val="%1"/>
      <w:numFmt w:val="decimal"/>
      <w:start w:val="107"/>
    </w:lvl>
  </w:abstractNum>
  <w:abstractNum w:abstractNumId="2">
    <w:nsid w:val="98A3148"/>
    <w:multiLevelType w:val="hybridMultilevel"/>
    <w:lvl w:ilvl="0">
      <w:lvlJc w:val="left"/>
      <w:lvlText w:val="(%1)"/>
      <w:numFmt w:val="lowerLetter"/>
      <w:start w:val="1"/>
    </w:lvl>
    <w:lvl w:ilvl="1">
      <w:lvlJc w:val="left"/>
      <w:lvlText w:val="(%2)"/>
      <w:numFmt w:val="decimal"/>
      <w:start w:val="1"/>
    </w:lvl>
  </w:abstractNum>
  <w:abstractNum w:abstractNumId="3">
    <w:nsid w:val="799D0247"/>
    <w:multiLevelType w:val="hybridMultilevel"/>
    <w:lvl w:ilvl="0">
      <w:lvlJc w:val="left"/>
      <w:lvlText w:val="(%1)"/>
      <w:numFmt w:val="lowerRoman"/>
      <w:start w:val="2"/>
    </w:lvl>
  </w:abstractNum>
  <w:abstractNum w:abstractNumId="4">
    <w:nsid w:val="6B94764"/>
    <w:multiLevelType w:val="hybridMultilevel"/>
    <w:lvl w:ilvl="0">
      <w:lvlJc w:val="left"/>
      <w:lvlText w:val="(%1)"/>
      <w:numFmt w:val="decimal"/>
      <w:start w:val="2"/>
    </w:lvl>
  </w:abstractNum>
  <w:abstractNum w:abstractNumId="5">
    <w:nsid w:val="42C296BD"/>
    <w:multiLevelType w:val="hybridMultilevel"/>
    <w:lvl w:ilvl="0">
      <w:lvlJc w:val="left"/>
      <w:lvlText w:val="(%1)"/>
      <w:numFmt w:val="lowerLetter"/>
      <w:start w:val="2"/>
    </w:lvl>
  </w:abstractNum>
  <w:abstractNum w:abstractNumId="6">
    <w:nsid w:val="168E121F"/>
    <w:multiLevelType w:val="hybridMultilevel"/>
    <w:lvl w:ilvl="0">
      <w:lvlJc w:val="left"/>
      <w:lvlText w:val="%1."/>
      <w:numFmt w:val="decimal"/>
      <w:start w:val="2"/>
    </w:lvl>
  </w:abstractNum>
  <w:abstractNum w:abstractNumId="7">
    <w:nsid w:val="1EBA5D23"/>
    <w:multiLevelType w:val="hybridMultilevel"/>
    <w:lvl w:ilvl="0">
      <w:lvlJc w:val="left"/>
      <w:lvlText w:val="%1."/>
      <w:numFmt w:val="decimal"/>
      <w:start w:val="4"/>
    </w:lvl>
  </w:abstractNum>
  <w:abstractNum w:abstractNumId="8">
    <w:nsid w:val="661E3F1E"/>
    <w:multiLevelType w:val="hybridMultilevel"/>
    <w:lvl w:ilvl="0">
      <w:lvlJc w:val="left"/>
      <w:lvlText w:val="%1."/>
      <w:numFmt w:val="decimal"/>
      <w:start w:val="6"/>
    </w:lvl>
  </w:abstractNum>
  <w:abstractNum w:abstractNumId="9">
    <w:nsid w:val="5DC79EA8"/>
    <w:multiLevelType w:val="hybridMultilevel"/>
    <w:lvl w:ilvl="0">
      <w:lvlJc w:val="left"/>
      <w:lvlText w:val="%1."/>
      <w:numFmt w:val="decimal"/>
      <w:start w:val="1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1."/>
      <w:numFmt w:val="decimal"/>
      <w:start w:val="2"/>
    </w:lvl>
  </w:abstractNum>
  <w:abstractNum w:abstractNumId="13">
    <w:nsid w:val="613EFDC5"/>
    <w:multiLevelType w:val="hybridMultilevel"/>
    <w:lvl w:ilvl="0">
      <w:lvlJc w:val="left"/>
      <w:lvlText w:val="%1."/>
      <w:numFmt w:val="decimal"/>
      <w:start w:val="3"/>
    </w:lvl>
  </w:abstractNum>
  <w:abstractNum w:abstractNumId="14">
    <w:nsid w:val="BF72B14"/>
    <w:multiLevelType w:val="hybridMultilevel"/>
    <w:lvl w:ilvl="0">
      <w:lvlJc w:val="left"/>
      <w:lvlText w:val="%1."/>
      <w:numFmt w:val="decimal"/>
      <w:start w:val="4"/>
    </w:lvl>
  </w:abstractNum>
  <w:abstractNum w:abstractNumId="15">
    <w:nsid w:val="11447B73"/>
    <w:multiLevelType w:val="hybridMultilevel"/>
    <w:lvl w:ilvl="0">
      <w:lvlJc w:val="left"/>
      <w:lvlText w:val="%1."/>
      <w:numFmt w:val="decimal"/>
      <w:start w:val="5"/>
    </w:lvl>
  </w:abstractNum>
  <w:abstractNum w:abstractNumId="16">
    <w:nsid w:val="42963E5A"/>
    <w:multiLevelType w:val="hybridMultilevel"/>
    <w:lvl w:ilvl="0">
      <w:lvlJc w:val="left"/>
      <w:lvlText w:val="%1)"/>
      <w:numFmt w:val="lowerLetter"/>
      <w:start w:val="1"/>
    </w:lvl>
  </w:abstractNum>
  <w:abstractNum w:abstractNumId="17">
    <w:nsid w:val="A0382C5"/>
    <w:multiLevelType w:val="hybridMultilevel"/>
    <w:lvl w:ilvl="0">
      <w:lvlJc w:val="left"/>
      <w:lvlText w:val="%1)"/>
      <w:numFmt w:val="lowerLetter"/>
      <w:start w:val="6"/>
    </w:lvl>
  </w:abstractNum>
  <w:abstractNum w:abstractNumId="18">
    <w:nsid w:val="8F2B15E"/>
    <w:multiLevelType w:val="hybridMultilevel"/>
    <w:lvl w:ilvl="0">
      <w:lvlJc w:val="left"/>
      <w:lvlText w:val="%1."/>
      <w:numFmt w:val="decimal"/>
      <w:start w:val="6"/>
    </w:lvl>
  </w:abstractNum>
  <w:abstractNum w:abstractNumId="19">
    <w:nsid w:val="1A32234B"/>
    <w:multiLevelType w:val="hybridMultilevel"/>
    <w:lvl w:ilvl="0">
      <w:lvlJc w:val="left"/>
      <w:lvlText w:val="%1)"/>
      <w:numFmt w:val="lowerLetter"/>
      <w:start w:val="1"/>
    </w:lvl>
  </w:abstractNum>
  <w:abstractNum w:abstractNumId="20">
    <w:nsid w:val="3B0FD379"/>
    <w:multiLevelType w:val="hybridMultilevel"/>
    <w:lvl w:ilvl="0">
      <w:lvlJc w:val="left"/>
      <w:lvlText w:val="%1."/>
      <w:numFmt w:val="decimal"/>
      <w:start w:val="7"/>
    </w:lvl>
  </w:abstractNum>
  <w:abstractNum w:abstractNumId="21">
    <w:nsid w:val="68EB2F63"/>
    <w:multiLevelType w:val="hybridMultilevel"/>
    <w:lvl w:ilvl="0">
      <w:lvlJc w:val="left"/>
      <w:lvlText w:val="%1)"/>
      <w:numFmt w:val="lowerLetter"/>
      <w:start w:val="1"/>
    </w:lvl>
  </w:abstractNum>
  <w:abstractNum w:abstractNumId="22">
    <w:nsid w:val="4962813B"/>
    <w:multiLevelType w:val="hybridMultilevel"/>
    <w:lvl w:ilvl="0">
      <w:lvlJc w:val="left"/>
      <w:lvlText w:val="%1)"/>
      <w:numFmt w:val="lowerLetter"/>
      <w:start w:val="1"/>
    </w:lvl>
  </w:abstractNum>
  <w:abstractNum w:abstractNumId="23">
    <w:nsid w:val="60B6DF70"/>
    <w:multiLevelType w:val="hybridMultilevel"/>
    <w:lvl w:ilvl="0">
      <w:lvlJc w:val="left"/>
      <w:lvlText w:val="%1)"/>
      <w:numFmt w:val="lowerLetter"/>
      <w:start w:val="1"/>
    </w:lvl>
  </w:abstractNum>
  <w:abstractNum w:abstractNumId="24">
    <w:nsid w:val="6A5EE64"/>
    <w:multiLevelType w:val="hybridMultilevel"/>
    <w:lvl w:ilvl="0">
      <w:lvlJc w:val="left"/>
      <w:lvlText w:val="%1."/>
      <w:numFmt w:val="decimal"/>
      <w:start w:val="8"/>
    </w:lvl>
  </w:abstractNum>
  <w:abstractNum w:abstractNumId="25">
    <w:nsid w:val="14330624"/>
    <w:multiLevelType w:val="hybridMultilevel"/>
    <w:lvl w:ilvl="0">
      <w:lvlJc w:val="left"/>
      <w:lvlText w:val="%1."/>
      <w:numFmt w:val="decimal"/>
      <w:start w:val="9"/>
    </w:lvl>
  </w:abstractNum>
  <w:abstractNum w:abstractNumId="26">
    <w:nsid w:val="7FFFCA11"/>
    <w:multiLevelType w:val="hybridMultilevel"/>
    <w:lvl w:ilvl="0">
      <w:lvlJc w:val="left"/>
      <w:lvlText w:val="%1."/>
      <w:numFmt w:val="decimal"/>
      <w:start w:val="10"/>
    </w:lvl>
  </w:abstractNum>
  <w:abstractNum w:abstractNumId="27">
    <w:nsid w:val="1A27709E"/>
    <w:multiLevelType w:val="hybridMultilevel"/>
    <w:lvl w:ilvl="0">
      <w:lvlJc w:val="left"/>
      <w:lvlText w:val="%1)"/>
      <w:numFmt w:val="lowerLetter"/>
      <w:start w:val="1"/>
    </w:lvl>
  </w:abstractNum>
  <w:abstractNum w:abstractNumId="28">
    <w:nsid w:val="71EA1109"/>
    <w:multiLevelType w:val="hybridMultilevel"/>
    <w:lvl w:ilvl="0">
      <w:lvlJc w:val="left"/>
      <w:lvlText w:val="%1)"/>
      <w:numFmt w:val="lowerLetter"/>
      <w:start w:val="3"/>
    </w:lvl>
  </w:abstractNum>
  <w:abstractNum w:abstractNumId="29">
    <w:nsid w:val="100F59DC"/>
    <w:multiLevelType w:val="hybridMultilevel"/>
    <w:lvl w:ilvl="0">
      <w:lvlJc w:val="left"/>
      <w:lvlText w:val="%1."/>
      <w:numFmt w:val="decimal"/>
      <w:start w:val="11"/>
    </w:lvl>
  </w:abstractNum>
  <w:abstractNum w:abstractNumId="30">
    <w:nsid w:val="7FB7E0A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1">
    <w:nsid w:val="6EB5BD4"/>
    <w:multiLevelType w:val="hybridMultilevel"/>
    <w:lvl w:ilvl="0">
      <w:lvlJc w:val="left"/>
      <w:lvlText w:val="%1."/>
      <w:numFmt w:val="decimal"/>
      <w:start w:val="1"/>
    </w:lvl>
    <w:lvl w:ilvl="1">
      <w:lvlJc w:val="left"/>
      <w:lvlText w:val="(%2)"/>
      <w:numFmt w:val="lowerLetter"/>
      <w:start w:val="1"/>
    </w:lvl>
  </w:abstractNum>
  <w:abstractNum w:abstractNumId="32">
    <w:nsid w:val="6F6DD9AC"/>
    <w:multiLevelType w:val="hybridMultilevel"/>
    <w:lvl w:ilvl="0">
      <w:lvlJc w:val="left"/>
      <w:lvlText w:val="%1."/>
      <w:numFmt w:val="decimal"/>
      <w:start w:val="2"/>
    </w:lvl>
    <w:lvl w:ilvl="1">
      <w:lvlJc w:val="left"/>
      <w:lvlText w:val="(%2)"/>
      <w:numFmt w:val="lowerLetter"/>
      <w:start w:val="1"/>
    </w:lvl>
  </w:abstractNum>
  <w:abstractNum w:abstractNumId="33">
    <w:nsid w:val="94211F2"/>
    <w:multiLevelType w:val="hybridMultilevel"/>
    <w:lvl w:ilvl="0">
      <w:lvlJc w:val="left"/>
      <w:lvlText w:val="%1."/>
      <w:numFmt w:val="decimal"/>
      <w:start w:val="7"/>
    </w:lvl>
    <w:lvl w:ilvl="1">
      <w:lvlJc w:val="left"/>
      <w:lvlText w:val="*"/>
      <w:numFmt w:val="bullet"/>
      <w:start w:val="1"/>
    </w:lvl>
  </w:abstractNum>
  <w:abstractNum w:abstractNumId="34">
    <w:nsid w:val="885E1B"/>
    <w:multiLevelType w:val="hybridMultilevel"/>
    <w:lvl w:ilvl="0">
      <w:lvlJc w:val="left"/>
      <w:lvlText w:val="%1."/>
      <w:numFmt w:val="decimal"/>
      <w:start w:val="1"/>
    </w:lvl>
    <w:lvl w:ilvl="1">
      <w:lvlJc w:val="left"/>
      <w:lvlText w:val="*"/>
      <w:numFmt w:val="bullet"/>
      <w:start w:val="1"/>
    </w:lvl>
  </w:abstractNum>
  <w:abstractNum w:abstractNumId="35">
    <w:nsid w:val="76272110"/>
    <w:multiLevelType w:val="hybridMultilevel"/>
    <w:lvl w:ilvl="0">
      <w:lvlJc w:val="left"/>
      <w:lvlText w:val="%1."/>
      <w:numFmt w:val="decimal"/>
      <w:start w:val="1"/>
    </w:lvl>
    <w:lvl w:ilvl="1">
      <w:lvlJc w:val="left"/>
      <w:lvlText w:val="(%2)"/>
      <w:numFmt w:val="lowerLetter"/>
      <w:start w:val="1"/>
    </w:lvl>
  </w:abstractNum>
  <w:abstractNum w:abstractNumId="36">
    <w:nsid w:val="4C04A8AF"/>
    <w:multiLevelType w:val="hybridMultilevel"/>
    <w:lvl w:ilvl="0">
      <w:lvlJc w:val="left"/>
      <w:lvlText w:val="(%1)"/>
      <w:numFmt w:val="lowerLetter"/>
      <w:start w:val="7"/>
    </w:lvl>
    <w:lvl w:ilvl="1">
      <w:lvlJc w:val="left"/>
      <w:lvlText w:val="(%2)"/>
      <w:numFmt w:val="lowerRoman"/>
      <w:start w:val="1"/>
    </w:lvl>
  </w:abstractNum>
  <w:abstractNum w:abstractNumId="37">
    <w:nsid w:val="1716703B"/>
    <w:multiLevelType w:val="hybridMultilevel"/>
    <w:lvl w:ilvl="0">
      <w:lvlJc w:val="left"/>
      <w:lvlText w:val="(%1)"/>
      <w:numFmt w:val="lowerLetter"/>
      <w:start w:val="8"/>
    </w:lvl>
  </w:abstractNum>
  <w:abstractNum w:abstractNumId="38">
    <w:nsid w:val="14E17E33"/>
    <w:multiLevelType w:val="hybridMultilevel"/>
    <w:lvl w:ilvl="0">
      <w:lvlJc w:val="left"/>
      <w:lvlText w:val="(%1)"/>
      <w:numFmt w:val="lowerLetter"/>
      <w:start w:val="10"/>
    </w:lvl>
  </w:abstractNum>
  <w:abstractNum w:abstractNumId="39">
    <w:nsid w:val="3222E7CD"/>
    <w:multiLevelType w:val="hybridMultilevel"/>
    <w:lvl w:ilvl="0">
      <w:lvlJc w:val="left"/>
      <w:lvlText w:val="%1"/>
      <w:numFmt w:val="lowerLetter"/>
      <w:start w:val="1"/>
    </w:lvl>
    <w:lvl w:ilvl="1">
      <w:lvlJc w:val="left"/>
      <w:lvlText w:val="(%2)"/>
      <w:numFmt w:val="lowerLetter"/>
      <w:start w:val="19"/>
    </w:lvl>
  </w:abstractNum>
  <w:abstractNum w:abstractNumId="40">
    <w:nsid w:val="74DE0EE3"/>
    <w:multiLevelType w:val="hybridMultilevel"/>
    <w:lvl w:ilvl="0">
      <w:lvlJc w:val="left"/>
      <w:lvlText w:val="(%1)"/>
      <w:numFmt w:val="lowerLetter"/>
      <w:start w:val="35"/>
    </w:lvl>
    <w:lvl w:ilvl="1">
      <w:lvlJc w:val="left"/>
      <w:lvlText w:val="(%2)"/>
      <w:numFmt w:val="lowerLetter"/>
      <w:start w:val="23"/>
    </w:lvl>
  </w:abstractNum>
  <w:abstractNum w:abstractNumId="41">
    <w:nsid w:val="68EBC550"/>
    <w:multiLevelType w:val="hybridMultilevel"/>
    <w:lvl w:ilvl="0">
      <w:lvlJc w:val="left"/>
      <w:lvlText w:val="(%1)"/>
      <w:numFmt w:val="lowerLetter"/>
      <w:start w:val="27"/>
    </w:lvl>
  </w:abstractNum>
  <w:abstractNum w:abstractNumId="42">
    <w:nsid w:val="2DF6D64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3">
    <w:nsid w:val="46B7D447"/>
    <w:multiLevelType w:val="hybridMultilevel"/>
    <w:lvl w:ilvl="0">
      <w:lvlJc w:val="left"/>
      <w:lvlText w:val="(%1)"/>
      <w:numFmt w:val="lowerLetter"/>
      <w:start w:val="2"/>
    </w:lvl>
  </w:abstractNum>
  <w:abstractNum w:abstractNumId="44">
    <w:nsid w:val="4A2AC315"/>
    <w:multiLevelType w:val="hybridMultilevel"/>
    <w:lvl w:ilvl="0">
      <w:lvlJc w:val="left"/>
      <w:lvlText w:val="%1."/>
      <w:numFmt w:val="decimal"/>
      <w:start w:val="4"/>
    </w:lvl>
    <w:lvl w:ilvl="1">
      <w:lvlJc w:val="left"/>
      <w:lvlText w:val="(%2)"/>
      <w:numFmt w:val="lowerLetter"/>
      <w:start w:val="1"/>
    </w:lvl>
  </w:abstractNum>
  <w:abstractNum w:abstractNumId="45">
    <w:nsid w:val="39EE015C"/>
    <w:multiLevelType w:val="hybridMultilevel"/>
    <w:lvl w:ilvl="0">
      <w:lvlJc w:val="left"/>
      <w:lvlText w:val="%1"/>
      <w:numFmt w:val="decimal"/>
      <w:start w:val="1"/>
    </w:lvl>
    <w:lvl w:ilvl="1">
      <w:lvlJc w:val="left"/>
      <w:lvlText w:val="(%2)"/>
      <w:numFmt w:val="lowerLetter"/>
      <w:start w:val="5"/>
    </w:lvl>
  </w:abstractNum>
  <w:abstractNum w:abstractNumId="46">
    <w:nsid w:val="57FC4FBB"/>
    <w:multiLevelType w:val="hybridMultilevel"/>
    <w:lvl w:ilvl="0">
      <w:lvlJc w:val="left"/>
      <w:lvlText w:val="%1."/>
      <w:numFmt w:val="decimal"/>
      <w:start w:val="5"/>
    </w:lvl>
    <w:lvl w:ilvl="1">
      <w:lvlJc w:val="left"/>
      <w:lvlText w:val="(%2)"/>
      <w:numFmt w:val="lowerLetter"/>
      <w:start w:val="1"/>
    </w:lvl>
  </w:abstractNum>
  <w:abstractNum w:abstractNumId="47">
    <w:nsid w:val="CC1016F"/>
    <w:multiLevelType w:val="hybridMultilevel"/>
    <w:lvl w:ilvl="0">
      <w:lvlJc w:val="left"/>
      <w:lvlText w:val="(%1)"/>
      <w:numFmt w:val="lowerLetter"/>
      <w:start w:val="2"/>
    </w:lvl>
    <w:lvl w:ilvl="1">
      <w:lvlJc w:val="left"/>
      <w:lvlText w:val="(%2)"/>
      <w:numFmt w:val="lowerRoman"/>
      <w:start w:val="1"/>
    </w:lvl>
  </w:abstractNum>
  <w:abstractNum w:abstractNumId="48">
    <w:nsid w:val="43F18422"/>
    <w:multiLevelType w:val="hybridMultilevel"/>
    <w:lvl w:ilvl="0">
      <w:lvlJc w:val="left"/>
      <w:lvlText w:val="%1"/>
      <w:numFmt w:val="lowerLetter"/>
      <w:start w:val="1"/>
    </w:lvl>
    <w:lvl w:ilvl="1">
      <w:lvlJc w:val="left"/>
      <w:lvlText w:val="(%2)"/>
      <w:numFmt w:val="lowerLetter"/>
      <w:start w:val="61"/>
    </w:lvl>
  </w:abstractNum>
  <w:abstractNum w:abstractNumId="49">
    <w:nsid w:val="60EF0119"/>
    <w:multiLevelType w:val="hybridMultilevel"/>
    <w:lvl w:ilvl="0">
      <w:lvlJc w:val="left"/>
      <w:lvlText w:val="(%1)"/>
      <w:numFmt w:val="lowerLetter"/>
      <w:start w:val="3"/>
    </w:lvl>
    <w:lvl w:ilvl="1">
      <w:lvlJc w:val="left"/>
      <w:lvlText w:val="(%2)"/>
      <w:numFmt w:val="lowerLetter"/>
      <w:start w:val="9"/>
    </w:lvl>
  </w:abstractNum>
  <w:abstractNum w:abstractNumId="50">
    <w:nsid w:val="26F324BA"/>
    <w:multiLevelType w:val="hybridMultilevel"/>
    <w:lvl w:ilvl="0">
      <w:lvlJc w:val="left"/>
      <w:lvlText w:val="(%1)"/>
      <w:numFmt w:val="lowerRoman"/>
      <w:start w:val="2"/>
    </w:lvl>
  </w:abstractNum>
  <w:abstractNum w:abstractNumId="51">
    <w:nsid w:val="7F01579B"/>
    <w:multiLevelType w:val="hybridMultilevel"/>
    <w:lvl w:ilvl="0">
      <w:lvlJc w:val="left"/>
      <w:lvlText w:val="(%1)"/>
      <w:numFmt w:val="lowerLetter"/>
      <w:start w:val="4"/>
    </w:lvl>
    <w:lvl w:ilvl="1">
      <w:lvlJc w:val="left"/>
      <w:lvlText w:val="(%2)"/>
      <w:numFmt w:val="lowerRoman"/>
      <w:start w:val="1"/>
    </w:lvl>
  </w:abstractNum>
  <w:abstractNum w:abstractNumId="52">
    <w:nsid w:val="49DA307D"/>
    <w:multiLevelType w:val="hybridMultilevel"/>
    <w:lvl w:ilvl="0">
      <w:lvlJc w:val="left"/>
      <w:lvlText w:val="%1"/>
      <w:numFmt w:val="lowerLetter"/>
      <w:start w:val="1"/>
    </w:lvl>
    <w:lvl w:ilvl="1">
      <w:lvlJc w:val="left"/>
      <w:lvlText w:val="(%2)"/>
      <w:numFmt w:val="lowerLetter"/>
      <w:start w:val="7"/>
    </w:lvl>
  </w:abstractNum>
  <w:abstractNum w:abstractNumId="53">
    <w:nsid w:val="7055A5F5"/>
    <w:multiLevelType w:val="hybridMultilevel"/>
    <w:lvl w:ilvl="0">
      <w:lvlJc w:val="left"/>
      <w:lvlText w:val="(%1)"/>
      <w:numFmt w:val="lowerLetter"/>
      <w:start w:val="61"/>
    </w:lvl>
    <w:lvl w:ilvl="1">
      <w:lvlJc w:val="left"/>
      <w:lvlText w:val="%2"/>
      <w:numFmt w:val="lowerLetter"/>
      <w:start w:val="1"/>
    </w:lvl>
  </w:abstractNum>
  <w:abstractNum w:abstractNumId="54">
    <w:nsid w:val="5FB837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
    <w:nsid w:val="50801EE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6">
    <w:nsid w:val="488AC1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7">
    <w:nsid w:val="5FB8011C"/>
    <w:multiLevelType w:val="hybridMultilevel"/>
    <w:lvl w:ilvl="0">
      <w:lvlJc w:val="left"/>
      <w:lvlText w:val="%1"/>
      <w:numFmt w:val="lowerLetter"/>
      <w:start w:val="1"/>
    </w:lvl>
    <w:lvl w:ilvl="1">
      <w:lvlJc w:val="left"/>
      <w:lvlText w:val="(%2)"/>
      <w:numFmt w:val="lowerLetter"/>
      <w:start w:val="35"/>
    </w:lvl>
  </w:abstractNum>
  <w:abstractNum w:abstractNumId="58">
    <w:nsid w:val="6AA78F7F"/>
    <w:multiLevelType w:val="hybridMultilevel"/>
    <w:lvl w:ilvl="0">
      <w:lvlJc w:val="left"/>
      <w:lvlText w:val="(%1)"/>
      <w:numFmt w:val="lowerLetter"/>
      <w:start w:val="4"/>
    </w:lvl>
    <w:lvl w:ilvl="1">
      <w:lvlJc w:val="left"/>
      <w:lvlText w:val="%2"/>
      <w:numFmt w:val="lowerLetter"/>
      <w:start w:val="1"/>
    </w:lvl>
  </w:abstractNum>
  <w:abstractNum w:abstractNumId="59">
    <w:nsid w:val="7672BD23"/>
    <w:multiLevelType w:val="hybridMultilevel"/>
    <w:lvl w:ilvl="0">
      <w:lvlJc w:val="left"/>
      <w:lvlText w:val="(%1)"/>
      <w:numFmt w:val="lowerLetter"/>
      <w:start w:val="5"/>
    </w:lvl>
    <w:lvl w:ilvl="1">
      <w:lvlJc w:val="left"/>
      <w:lvlText w:val="(%2)"/>
      <w:numFmt w:val="lowerRoman"/>
      <w:start w:val="1"/>
    </w:lvl>
  </w:abstractNum>
  <w:abstractNum w:abstractNumId="60">
    <w:nsid w:val="6FC75AF8"/>
    <w:multiLevelType w:val="hybridMultilevel"/>
    <w:lvl w:ilvl="0">
      <w:lvlJc w:val="left"/>
      <w:lvlText w:val="%1."/>
      <w:numFmt w:val="decimal"/>
      <w:start w:val="9"/>
    </w:lvl>
    <w:lvl w:ilvl="1">
      <w:lvlJc w:val="left"/>
      <w:lvlText w:val="(%2)"/>
      <w:numFmt w:val="lowerLetter"/>
      <w:start w:val="1"/>
    </w:lvl>
  </w:abstractNum>
  <w:abstractNum w:abstractNumId="61">
    <w:nsid w:val="6A5F7029"/>
    <w:multiLevelType w:val="hybridMultilevel"/>
    <w:lvl w:ilvl="0">
      <w:lvlJc w:val="left"/>
      <w:lvlText w:val="(%1)"/>
      <w:numFmt w:val="lowerLetter"/>
      <w:start w:val="2"/>
    </w:lvl>
  </w:abstractNum>
  <w:abstractNum w:abstractNumId="62">
    <w:nsid w:val="7D5E18F8"/>
    <w:multiLevelType w:val="hybridMultilevel"/>
    <w:lvl w:ilvl="0">
      <w:lvlJc w:val="left"/>
      <w:lvlText w:val="(%1)"/>
      <w:numFmt w:val="lowerLetter"/>
      <w:start w:val="5"/>
    </w:lvl>
  </w:abstractNum>
  <w:abstractNum w:abstractNumId="63">
    <w:nsid w:val="5F3534A4"/>
    <w:multiLevelType w:val="hybridMultilevel"/>
    <w:lvl w:ilvl="0">
      <w:lvlJc w:val="left"/>
      <w:lvlText w:val="(%1)"/>
      <w:numFmt w:val="lowerLetter"/>
      <w:start w:val="9"/>
    </w:lvl>
  </w:abstractNum>
  <w:abstractNum w:abstractNumId="64">
    <w:nsid w:val="73A1821B"/>
    <w:multiLevelType w:val="hybridMultilevel"/>
    <w:lvl w:ilvl="0">
      <w:lvlJc w:val="left"/>
      <w:lvlText w:val="(%1)"/>
      <w:numFmt w:val="lowerLetter"/>
      <w:start w:val="12"/>
    </w:lvl>
  </w:abstractNum>
  <w:abstractNum w:abstractNumId="65">
    <w:nsid w:val="7DE67713"/>
    <w:multiLevelType w:val="hybridMultilevel"/>
    <w:lvl w:ilvl="0">
      <w:lvlJc w:val="left"/>
      <w:lvlText w:val="%1."/>
      <w:numFmt w:val="decimal"/>
      <w:start w:val="1"/>
    </w:lvl>
  </w:abstractNum>
  <w:abstractNum w:abstractNumId="66">
    <w:nsid w:val="555C55B5"/>
    <w:multiLevelType w:val="hybridMultilevel"/>
    <w:lvl w:ilvl="0">
      <w:lvlJc w:val="left"/>
      <w:lvlText w:val="1"/>
      <w:numFmt w:val="bullet"/>
      <w:start w:val="1"/>
    </w:lvl>
  </w:abstractNum>
  <w:abstractNum w:abstractNumId="67">
    <w:nsid w:val="3FA62ACA"/>
    <w:multiLevelType w:val="hybridMultilevel"/>
    <w:lvl w:ilvl="0">
      <w:lvlJc w:val="left"/>
      <w:lvlText w:val="%1."/>
      <w:numFmt w:val="decimal"/>
      <w:start w:val="1"/>
    </w:lvl>
  </w:abstractNum>
  <w:abstractNum w:abstractNumId="68">
    <w:nsid w:val="14FCE74E"/>
    <w:multiLevelType w:val="hybridMultilevel"/>
    <w:lvl w:ilvl="0">
      <w:lvlJc w:val="left"/>
      <w:lvlText w:val="%1."/>
      <w:numFmt w:val="decimal"/>
      <w:start w:val="2"/>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
    <w:nsid w:val="9DAF632"/>
    <w:multiLevelType w:val="hybridMultilevel"/>
    <w:lvl w:ilvl="0">
      <w:lvlJc w:val="left"/>
      <w:lvlText w:val="%1"/>
      <w:numFmt w:val="lowerLetter"/>
      <w:start w:val="1"/>
    </w:lvl>
    <w:lvl w:ilvl="1">
      <w:lvlJc w:val="left"/>
      <w:lvlText w:val="(%2)"/>
      <w:numFmt w:val="lowerRoman"/>
      <w:start w:val="3"/>
    </w:lvl>
  </w:abstractNum>
  <w:abstractNum w:abstractNumId="72">
    <w:nsid w:val="53299938"/>
    <w:multiLevelType w:val="hybridMultilevel"/>
    <w:lvl w:ilvl="0">
      <w:lvlJc w:val="left"/>
      <w:lvlText w:val="(%1)"/>
      <w:numFmt w:val="lowerLetter"/>
      <w:start w:val="2"/>
    </w:lvl>
    <w:lvl w:ilvl="1">
      <w:lvlJc w:val="left"/>
      <w:lvlText w:val="(%2)"/>
      <w:numFmt w:val="lowerRoman"/>
      <w:start w:val="1"/>
    </w:lvl>
  </w:abstractNum>
  <w:abstractNum w:abstractNumId="73">
    <w:nsid w:val="1FBFE8E0"/>
    <w:multiLevelType w:val="hybridMultilevel"/>
    <w:lvl w:ilvl="0">
      <w:lvlJc w:val="left"/>
      <w:lvlText w:val="(%1)"/>
      <w:numFmt w:val="lowerRoman"/>
      <w:start w:val="3"/>
    </w:lvl>
  </w:abstractNum>
  <w:abstractNum w:abstractNumId="74">
    <w:nsid w:val="5092CA79"/>
    <w:multiLevelType w:val="hybridMultilevel"/>
    <w:lvl w:ilvl="0">
      <w:lvlJc w:val="left"/>
      <w:lvlText w:val="(%1)"/>
      <w:numFmt w:val="upperLetter"/>
      <w:start w:val="1"/>
    </w:lvl>
    <w:lvl w:ilvl="1">
      <w:lvlJc w:val="left"/>
      <w:lvlText w:val="(%2)"/>
      <w:numFmt w:val="decimal"/>
      <w:start w:val="1"/>
    </w:lvl>
  </w:abstractNum>
  <w:abstractNum w:abstractNumId="75">
    <w:nsid w:val="1D545C4D"/>
    <w:multiLevelType w:val="hybridMultilevel"/>
    <w:lvl w:ilvl="0">
      <w:lvlJc w:val="left"/>
      <w:lvlText w:val="(%1)"/>
      <w:numFmt w:val="upperLetter"/>
      <w:start w:val="3"/>
    </w:lvl>
  </w:abstractNum>
  <w:abstractNum w:abstractNumId="76">
    <w:nsid w:val="59ADEA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77">
    <w:nsid w:val="288F1A3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78">
    <w:nsid w:val="2A155DBC"/>
    <w:multiLevelType w:val="hybridMultilevel"/>
    <w:lvl w:ilvl="0">
      <w:lvlJc w:val="left"/>
      <w:lvlText w:val="(%1)"/>
      <w:numFmt w:val="lowerLetter"/>
      <w:start w:val="13"/>
    </w:lvl>
    <w:lvl w:ilvl="1">
      <w:lvlJc w:val="left"/>
      <w:lvlText w:val="(%2)"/>
      <w:numFmt w:val="lowerRoman"/>
      <w:start w:val="1"/>
    </w:lvl>
  </w:abstractNum>
  <w:abstractNum w:abstractNumId="79">
    <w:nsid w:val="1D9F6E5F"/>
    <w:multiLevelType w:val="hybridMultilevel"/>
    <w:lvl w:ilvl="0">
      <w:lvlJc w:val="left"/>
      <w:lvlText w:val="(%1)"/>
      <w:numFmt w:val="lowerRoman"/>
      <w:start w:val="3"/>
    </w:lvl>
  </w:abstractNum>
  <w:abstractNum w:abstractNumId="80">
    <w:nsid w:val="97E1B4E"/>
    <w:multiLevelType w:val="hybridMultilevel"/>
    <w:lvl w:ilvl="0">
      <w:lvlJc w:val="left"/>
      <w:lvlText w:val="(%1)"/>
      <w:numFmt w:val="lowerLetter"/>
      <w:start w:val="14"/>
    </w:lvl>
    <w:lvl w:ilvl="1">
      <w:lvlJc w:val="left"/>
      <w:lvlText w:val="(%2)"/>
      <w:numFmt w:val="lowerRoman"/>
      <w:start w:val="1"/>
    </w:lvl>
  </w:abstractNum>
  <w:abstractNum w:abstractNumId="81">
    <w:nsid w:val="51088277"/>
    <w:multiLevelType w:val="hybridMultilevel"/>
    <w:lvl w:ilvl="0">
      <w:lvlJc w:val="left"/>
      <w:lvlText w:val="(%1)"/>
      <w:numFmt w:val="lowerLetter"/>
      <w:start w:val="19"/>
    </w:lvl>
    <w:lvl w:ilvl="1">
      <w:lvlJc w:val="left"/>
      <w:lvlText w:val="(%2)"/>
      <w:numFmt w:val="lowerRoman"/>
      <w:start w:val="1"/>
    </w:lvl>
  </w:abstractNum>
  <w:abstractNum w:abstractNumId="82">
    <w:nsid w:val="1CA0C5FA"/>
    <w:multiLevelType w:val="hybridMultilevel"/>
    <w:lvl w:ilvl="0">
      <w:lvlJc w:val="left"/>
      <w:lvlText w:val="%1"/>
      <w:numFmt w:val="lowerLetter"/>
      <w:start w:val="1"/>
    </w:lvl>
    <w:lvl w:ilvl="1">
      <w:lvlJc w:val="left"/>
      <w:lvlText w:val="(%2)"/>
      <w:numFmt w:val="lowerLetter"/>
      <w:start w:val="35"/>
    </w:lvl>
  </w:abstractNum>
  <w:abstractNum w:abstractNumId="83">
    <w:nsid w:val="53584BCB"/>
    <w:multiLevelType w:val="hybridMultilevel"/>
    <w:lvl w:ilvl="0">
      <w:lvlJc w:val="left"/>
      <w:lvlText w:val="(%1)"/>
      <w:numFmt w:val="lowerLetter"/>
      <w:start w:val="23"/>
    </w:lvl>
    <w:lvl w:ilvl="1">
      <w:lvlJc w:val="left"/>
      <w:lvlText w:val="(%2)"/>
      <w:numFmt w:val="lowerLetter"/>
      <w:start w:val="9"/>
    </w:lvl>
  </w:abstractNum>
  <w:abstractNum w:abstractNumId="84">
    <w:nsid w:val="415E286C"/>
    <w:multiLevelType w:val="hybridMultilevel"/>
    <w:lvl w:ilvl="0">
      <w:lvlJc w:val="left"/>
      <w:lvlText w:val="%1"/>
      <w:numFmt w:val="lowerLetter"/>
      <w:start w:val="1"/>
    </w:lvl>
    <w:lvl w:ilvl="1">
      <w:lvlJc w:val="left"/>
      <w:lvlText w:val="(%2)"/>
      <w:numFmt w:val="lowerLetter"/>
      <w:start w:val="35"/>
    </w:lvl>
  </w:abstractNum>
  <w:abstractNum w:abstractNumId="85">
    <w:nsid w:val="7C58FD05"/>
    <w:multiLevelType w:val="hybridMultilevel"/>
    <w:lvl w:ilvl="0">
      <w:lvlJc w:val="left"/>
      <w:lvlText w:val="(%1)"/>
      <w:numFmt w:val="lowerLetter"/>
      <w:start w:val="25"/>
    </w:lvl>
    <w:lvl w:ilvl="1">
      <w:lvlJc w:val="left"/>
      <w:lvlText w:val="%2"/>
      <w:numFmt w:val="lowerLetter"/>
      <w:start w:val="1"/>
    </w:lvl>
  </w:abstractNum>
  <w:abstractNum w:abstractNumId="86">
    <w:nsid w:val="23D86AAC"/>
    <w:multiLevelType w:val="hybridMultilevel"/>
    <w:lvl w:ilvl="0">
      <w:lvlJc w:val="left"/>
      <w:lvlText w:val="(%1)"/>
      <w:numFmt w:val="lowerLetter"/>
      <w:start w:val="27"/>
    </w:lvl>
    <w:lvl w:ilvl="1">
      <w:lvlJc w:val="left"/>
      <w:lvlText w:val="(%2)"/>
      <w:numFmt w:val="lowerRoman"/>
      <w:start w:val="1"/>
    </w:lvl>
  </w:abstractNum>
  <w:abstractNum w:abstractNumId="87">
    <w:nsid w:val="45E6D486"/>
    <w:multiLevelType w:val="hybridMultilevel"/>
    <w:lvl w:ilvl="0">
      <w:lvlJc w:val="left"/>
      <w:lvlText w:val="(%1)"/>
      <w:numFmt w:val="lowerRoman"/>
      <w:start w:val="3"/>
    </w:lvl>
  </w:abstractNum>
  <w:abstractNum w:abstractNumId="88">
    <w:nsid w:val="5C10FE21"/>
    <w:multiLevelType w:val="hybridMultilevel"/>
    <w:lvl w:ilvl="0">
      <w:lvlJc w:val="left"/>
      <w:lvlText w:val="(%1)"/>
      <w:numFmt w:val="lowerLetter"/>
      <w:start w:val="30"/>
    </w:lvl>
    <w:lvl w:ilvl="1">
      <w:lvlJc w:val="left"/>
      <w:lvlText w:val="(%2)"/>
      <w:numFmt w:val="lowerRoman"/>
      <w:start w:val="1"/>
    </w:lvl>
  </w:abstractNum>
  <w:abstractNum w:abstractNumId="89">
    <w:nsid w:val="E7FFA2B"/>
    <w:multiLevelType w:val="hybridMultilevel"/>
    <w:lvl w:ilvl="0">
      <w:lvlJc w:val="left"/>
      <w:lvlText w:val="(%1)"/>
      <w:numFmt w:val="lowerLetter"/>
      <w:start w:val="34"/>
    </w:lvl>
    <w:lvl w:ilvl="1">
      <w:lvlJc w:val="left"/>
      <w:lvlText w:val="(%2)"/>
      <w:numFmt w:val="lowerRoman"/>
      <w:start w:val="1"/>
    </w:lvl>
  </w:abstractNum>
  <w:abstractNum w:abstractNumId="90">
    <w:nsid w:val="3C5991AA"/>
    <w:multiLevelType w:val="hybridMultilevel"/>
    <w:lvl w:ilvl="0">
      <w:lvlJc w:val="left"/>
      <w:lvlText w:val="(%1)"/>
      <w:numFmt w:val="lowerLetter"/>
      <w:start w:val="36"/>
    </w:lvl>
  </w:abstractNum>
  <w:abstractNum w:abstractNumId="91">
    <w:nsid w:val="4BD8591A"/>
    <w:multiLevelType w:val="hybridMultilevel"/>
    <w:lvl w:ilvl="0">
      <w:lvlJc w:val="left"/>
      <w:lvlText w:val="(%1)"/>
      <w:numFmt w:val="lowerLetter"/>
      <w:start w:val="3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2">
    <w:nsid w:val="78DF6A55"/>
    <w:multiLevelType w:val="hybridMultilevel"/>
    <w:lvl w:ilvl="0">
      <w:lvlJc w:val="left"/>
      <w:lvlText w:val="(%1)"/>
      <w:numFmt w:val="lowerRoman"/>
      <w:start w:val="3"/>
    </w:lvl>
    <w:lvl w:ilvl="1">
      <w:lvlJc w:val="left"/>
      <w:lvlText w:val="(%2)"/>
      <w:numFmt w:val="upperLetter"/>
      <w:start w:val="1"/>
    </w:lvl>
  </w:abstractNum>
  <w:abstractNum w:abstractNumId="93">
    <w:nsid w:val="39B7AAA2"/>
    <w:multiLevelType w:val="hybridMultilevel"/>
    <w:lvl w:ilvl="0">
      <w:lvlJc w:val="left"/>
      <w:lvlText w:val="(%1)"/>
      <w:numFmt w:val="lowerLetter"/>
      <w:start w:val="38"/>
    </w:lvl>
  </w:abstractNum>
  <w:abstractNum w:abstractNumId="94">
    <w:nsid w:val="2B0D8DBE"/>
    <w:multiLevelType w:val="hybridMultilevel"/>
    <w:lvl w:ilvl="0">
      <w:lvlJc w:val="left"/>
      <w:lvlText w:val="(%1)"/>
      <w:numFmt w:val="lowerLetter"/>
      <w:start w:val="39"/>
    </w:lvl>
    <w:lvl w:ilvl="1">
      <w:lvlJc w:val="left"/>
      <w:lvlText w:val="(%2)"/>
      <w:numFmt w:val="lowerRoman"/>
      <w:start w:val="1"/>
    </w:lvl>
  </w:abstractNum>
  <w:abstractNum w:abstractNumId="95">
    <w:nsid w:val="6C80EC70"/>
    <w:multiLevelType w:val="hybridMultilevel"/>
    <w:lvl w:ilvl="0">
      <w:lvlJc w:val="left"/>
      <w:lvlText w:val="(%1)"/>
      <w:numFmt w:val="lowerLetter"/>
      <w:start w:val="40"/>
    </w:lvl>
    <w:lvl w:ilvl="1">
      <w:lvlJc w:val="left"/>
      <w:lvlText w:val="(%2)"/>
      <w:numFmt w:val="lowerRoman"/>
      <w:start w:val="1"/>
    </w:lvl>
  </w:abstractNum>
  <w:abstractNum w:abstractNumId="96">
    <w:nsid w:val="379E21B5"/>
    <w:multiLevelType w:val="hybridMultilevel"/>
    <w:lvl w:ilvl="0">
      <w:lvlJc w:val="left"/>
      <w:lvlText w:val="(%1)"/>
      <w:numFmt w:val="lowerLetter"/>
      <w:start w:val="48"/>
    </w:lvl>
  </w:abstractNum>
  <w:abstractNum w:abstractNumId="97">
    <w:nsid w:val="69E373"/>
    <w:multiLevelType w:val="hybridMultilevel"/>
    <w:lvl w:ilvl="0">
      <w:lvlJc w:val="left"/>
      <w:lvlText w:val="(%1)"/>
      <w:numFmt w:val="lowerLetter"/>
      <w:start w:val="49"/>
    </w:lvl>
    <w:lvl w:ilvl="1">
      <w:lvlJc w:val="left"/>
      <w:lvlText w:val="(%2)"/>
      <w:numFmt w:val="lowerRoman"/>
      <w:start w:val="1"/>
    </w:lvl>
    <w:lvl w:ilvl="2">
      <w:lvlJc w:val="left"/>
      <w:lvlText w:val="(%3)"/>
      <w:numFmt w:val="upperLetter"/>
      <w:start w:val="1"/>
    </w:lvl>
  </w:abstractNum>
  <w:abstractNum w:abstractNumId="98">
    <w:nsid w:val="2C27173B"/>
    <w:multiLevelType w:val="hybridMultilevel"/>
    <w:lvl w:ilvl="0">
      <w:lvlJc w:val="left"/>
      <w:lvlText w:val="(%1)"/>
      <w:numFmt w:val="lowerLetter"/>
      <w:start w:val="53"/>
    </w:lvl>
    <w:lvl w:ilvl="1">
      <w:lvlJc w:val="left"/>
      <w:lvlText w:val="(%2)"/>
      <w:numFmt w:val="lowerRoman"/>
      <w:start w:val="1"/>
    </w:lvl>
  </w:abstractNum>
  <w:abstractNum w:abstractNumId="99">
    <w:nsid w:val="4C9B0904"/>
    <w:multiLevelType w:val="hybridMultilevel"/>
    <w:lvl w:ilvl="0">
      <w:lvlJc w:val="left"/>
      <w:lvlText w:val="(%1)"/>
      <w:numFmt w:val="lowerLetter"/>
      <w:start w:val="1"/>
    </w:lvl>
  </w:abstractNum>
  <w:abstractNum w:abstractNumId="100">
    <w:nsid w:val="6AA7B75C"/>
    <w:multiLevelType w:val="hybridMultilevel"/>
    <w:lvl w:ilvl="0">
      <w:lvlJc w:val="left"/>
      <w:lvlText w:val="(%1)"/>
      <w:numFmt w:val="lowerLetter"/>
      <w:start w:val="1"/>
    </w:lvl>
  </w:abstractNum>
  <w:abstractNum w:abstractNumId="101">
    <w:nsid w:val="1DF029D3"/>
    <w:multiLevelType w:val="hybridMultilevel"/>
    <w:lvl w:ilvl="0">
      <w:lvlJc w:val="left"/>
      <w:lvlText w:val="(%1)"/>
      <w:numFmt w:val="lowerLetter"/>
      <w:start w:val="2"/>
    </w:lvl>
    <w:lvl w:ilvl="1">
      <w:lvlJc w:val="left"/>
      <w:lvlText w:val="(%2)"/>
      <w:numFmt w:val="lowerRoman"/>
      <w:start w:val="1"/>
    </w:lvl>
  </w:abstractNum>
  <w:abstractNum w:abstractNumId="102">
    <w:nsid w:val="5675FF36"/>
    <w:multiLevelType w:val="hybridMultilevel"/>
    <w:lvl w:ilvl="0">
      <w:lvlJc w:val="left"/>
      <w:lvlText w:val="(%1)"/>
      <w:numFmt w:val="lowerLetter"/>
      <w:start w:val="24"/>
    </w:lvl>
  </w:abstractNum>
  <w:abstractNum w:abstractNumId="103">
    <w:nsid w:val="3DD15094"/>
    <w:multiLevelType w:val="hybridMultilevel"/>
    <w:lvl w:ilvl="0">
      <w:lvlJc w:val="left"/>
      <w:lvlText w:val="(%1)"/>
      <w:numFmt w:val="lowerLetter"/>
      <w:start w:val="4"/>
    </w:lvl>
    <w:lvl w:ilvl="1">
      <w:lvlJc w:val="left"/>
      <w:lvlText w:val="(%2)"/>
      <w:numFmt w:val="lowerRoman"/>
      <w:start w:val="1"/>
    </w:lvl>
  </w:abstractNum>
  <w:abstractNum w:abstractNumId="104">
    <w:nsid w:val="3DB012B3"/>
    <w:multiLevelType w:val="hybridMultilevel"/>
    <w:lvl w:ilvl="0">
      <w:lvlJc w:val="left"/>
      <w:lvlText w:val="(%1)"/>
      <w:numFmt w:val="lowerLetter"/>
      <w:start w:val="5"/>
    </w:lvl>
    <w:lvl w:ilvl="1">
      <w:lvlJc w:val="left"/>
      <w:lvlText w:val="(%2)"/>
      <w:numFmt w:val="lowerRoman"/>
      <w:start w:val="1"/>
    </w:lvl>
  </w:abstractNum>
  <w:abstractNum w:abstractNumId="105">
    <w:nsid w:val="2708C9AF"/>
    <w:multiLevelType w:val="hybridMultilevel"/>
    <w:lvl w:ilvl="0">
      <w:lvlJc w:val="left"/>
      <w:lvlText w:val="(%1)"/>
      <w:numFmt w:val="lowerLetter"/>
      <w:start w:val="6"/>
    </w:lvl>
    <w:lvl w:ilvl="1">
      <w:lvlJc w:val="left"/>
      <w:lvlText w:val="(%2)"/>
      <w:numFmt w:val="lowerRoman"/>
      <w:start w:val="1"/>
    </w:lvl>
  </w:abstractNum>
  <w:abstractNum w:abstractNumId="106">
    <w:nsid w:val="5B25ACE2"/>
    <w:multiLevelType w:val="hybridMultilevel"/>
    <w:lvl w:ilvl="0">
      <w:lvlJc w:val="left"/>
      <w:lvlText w:val="(%1)"/>
      <w:numFmt w:val="lowerLetter"/>
      <w:start w:val="1"/>
    </w:lvl>
    <w:lvl w:ilvl="1">
      <w:lvlJc w:val="left"/>
      <w:lvlText w:val="(%2)"/>
      <w:numFmt w:val="lowerRoman"/>
      <w:start w:val="1"/>
    </w:lvl>
  </w:abstractNum>
  <w:abstractNum w:abstractNumId="107">
    <w:nsid w:val="175DFCF0"/>
    <w:multiLevelType w:val="hybridMultilevel"/>
    <w:lvl w:ilvl="0">
      <w:lvlJc w:val="left"/>
      <w:lvlText w:val="(%1)"/>
      <w:numFmt w:val="lowerRoman"/>
      <w:start w:val="2"/>
    </w:lvl>
  </w:abstractNum>
  <w:abstractNum w:abstractNumId="108">
    <w:nsid w:val="4F97E3E4"/>
    <w:multiLevelType w:val="hybridMultilevel"/>
    <w:lvl w:ilvl="0">
      <w:lvlJc w:val="left"/>
      <w:lvlText w:val="x"/>
      <w:numFmt w:val="bullet"/>
      <w:start w:val="1"/>
    </w:lvl>
  </w:abstractNum>
  <w:abstractNum w:abstractNumId="109">
    <w:nsid w:val="53B0A9E"/>
    <w:multiLevelType w:val="hybridMultilevel"/>
    <w:lvl w:ilvl="0">
      <w:lvlJc w:val="left"/>
      <w:lvlText w:val="y"/>
      <w:numFmt w:val="bullet"/>
      <w:start w:val="1"/>
    </w:lvl>
  </w:abstractNum>
  <w:abstractNum w:abstractNumId="110">
    <w:nsid w:val="34FD6B4F"/>
    <w:multiLevelType w:val="hybridMultilevel"/>
    <w:lvl w:ilvl="0">
      <w:lvlJc w:val="left"/>
      <w:lvlText w:val="(%1)"/>
      <w:numFmt w:val="lowerLetter"/>
      <w:start w:val="2"/>
    </w:lvl>
    <w:lvl w:ilvl="1">
      <w:lvlJc w:val="left"/>
      <w:lvlText w:val="(%2)"/>
      <w:numFmt w:val="lowerRoman"/>
      <w:start w:val="1"/>
    </w:lvl>
  </w:abstractNum>
  <w:abstractNum w:abstractNumId="111">
    <w:nsid w:val="5915FF32"/>
    <w:multiLevelType w:val="hybridMultilevel"/>
    <w:lvl w:ilvl="0">
      <w:lvlJc w:val="left"/>
      <w:lvlText w:val="(%1)"/>
      <w:numFmt w:val="lowerRoman"/>
      <w:start w:val="2"/>
    </w:lvl>
  </w:abstractNum>
  <w:abstractNum w:abstractNumId="112">
    <w:nsid w:val="56438D15"/>
    <w:multiLevelType w:val="hybridMultilevel"/>
    <w:lvl w:ilvl="0">
      <w:lvlJc w:val="left"/>
      <w:lvlText w:val="(%1)"/>
      <w:numFmt w:val="lowerLetter"/>
      <w:start w:val="3"/>
    </w:lvl>
    <w:lvl w:ilvl="1">
      <w:lvlJc w:val="left"/>
      <w:lvlText w:val="(%2)"/>
      <w:numFmt w:val="lowerRoman"/>
      <w:start w:val="1"/>
    </w:lvl>
  </w:abstractNum>
  <w:abstractNum w:abstractNumId="113">
    <w:nsid w:val="519E3149"/>
    <w:multiLevelType w:val="hybridMultilevel"/>
    <w:lvl w:ilvl="0">
      <w:lvlJc w:val="left"/>
      <w:lvlText w:val="(%1)"/>
      <w:numFmt w:val="lowerLetter"/>
      <w:start w:val="8"/>
    </w:lvl>
    <w:lvl w:ilvl="1">
      <w:lvlJc w:val="left"/>
      <w:lvlText w:val="(%2)"/>
      <w:numFmt w:val="lowerRoman"/>
      <w:start w:val="1"/>
    </w:lvl>
  </w:abstractNum>
  <w:abstractNum w:abstractNumId="114">
    <w:nsid w:val="2C6E4AFD"/>
    <w:multiLevelType w:val="hybridMultilevel"/>
    <w:lvl w:ilvl="0">
      <w:lvlJc w:val="left"/>
      <w:lvlText w:val="(%1)"/>
      <w:numFmt w:val="lowerLetter"/>
      <w:start w:val="10"/>
    </w:lvl>
    <w:lvl w:ilvl="1">
      <w:lvlJc w:val="left"/>
      <w:lvlText w:val="(%2)"/>
      <w:numFmt w:val="lowerRoman"/>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lowerLetter"/>
      <w:start w:val="1"/>
    </w:lvl>
  </w:abstractNum>
  <w:abstractNum w:abstractNumId="117">
    <w:nsid w:val="5046B5A9"/>
    <w:multiLevelType w:val="hybridMultilevel"/>
    <w:lvl w:ilvl="0">
      <w:lvlJc w:val="left"/>
      <w:lvlText w:val="(%1)"/>
      <w:numFmt w:val="lowerLetter"/>
      <w:start w:val="1"/>
    </w:lvl>
    <w:lvl w:ilvl="1">
      <w:lvlJc w:val="left"/>
      <w:lvlText w:val="(%2)"/>
      <w:numFmt w:val="lowerRoman"/>
      <w:start w:val="1"/>
    </w:lvl>
  </w:abstractNum>
  <w:abstractNum w:abstractNumId="118">
    <w:nsid w:val="5D888A08"/>
    <w:multiLevelType w:val="hybridMultilevel"/>
    <w:lvl w:ilvl="0">
      <w:lvlJc w:val="left"/>
      <w:lvlText w:val="(%1)"/>
      <w:numFmt w:val="lowerLetter"/>
      <w:start w:val="3"/>
    </w:lvl>
  </w:abstractNum>
  <w:abstractNum w:abstractNumId="119">
    <w:nsid w:val="2A082C70"/>
    <w:multiLevelType w:val="hybridMultilevel"/>
    <w:lvl w:ilvl="0">
      <w:lvlJc w:val="left"/>
      <w:lvlText w:val="(%1)"/>
      <w:numFmt w:val="lowerLetter"/>
      <w:start w:val="1"/>
    </w:lvl>
  </w:abstractNum>
  <w:abstractNum w:abstractNumId="120">
    <w:nsid w:val="5EC6AFD4"/>
    <w:multiLevelType w:val="hybridMultilevel"/>
    <w:lvl w:ilvl="0">
      <w:lvlJc w:val="left"/>
      <w:lvlText w:val="(%1)"/>
      <w:numFmt w:val="lowerLetter"/>
      <w:start w:val="1"/>
    </w:lvl>
    <w:lvl w:ilvl="1">
      <w:lvlJc w:val="left"/>
      <w:lvlText w:val="(%2)"/>
      <w:numFmt w:val="lowerRoman"/>
      <w:start w:val="1"/>
    </w:lvl>
  </w:abstractNum>
  <w:abstractNum w:abstractNumId="121">
    <w:nsid w:val="19E21BB2"/>
    <w:multiLevelType w:val="hybridMultilevel"/>
    <w:lvl w:ilvl="0">
      <w:lvlJc w:val="left"/>
      <w:lvlText w:val="(%1)"/>
      <w:numFmt w:val="lowerLetter"/>
      <w:start w:val="3"/>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Letter"/>
      <w:start w:val="1"/>
    </w:lvl>
  </w:abstractNum>
  <w:abstractNum w:abstractNumId="124">
    <w:nsid w:val="5399C654"/>
    <w:multiLevelType w:val="hybridMultilevel"/>
    <w:lvl w:ilvl="0">
      <w:lvlJc w:val="left"/>
      <w:lvlText w:val="(%1)"/>
      <w:numFmt w:val="lowerLetter"/>
      <w:start w:val="1"/>
    </w:lvl>
  </w:abstractNum>
  <w:abstractNum w:abstractNumId="125">
    <w:nsid w:val="20EE1348"/>
    <w:multiLevelType w:val="hybridMultilevel"/>
    <w:lvl w:ilvl="0">
      <w:lvlJc w:val="left"/>
      <w:lvlText w:val="(%1)"/>
      <w:numFmt w:val="lowerLetter"/>
      <w:start w:val="2"/>
    </w:lvl>
  </w:abstractNum>
  <w:abstractNum w:abstractNumId="126">
    <w:nsid w:val="4427069A"/>
    <w:multiLevelType w:val="hybridMultilevel"/>
    <w:lvl w:ilvl="0">
      <w:lvlJc w:val="left"/>
      <w:lvlText w:val="(%1)"/>
      <w:numFmt w:val="lowerLetter"/>
      <w:start w:val="1"/>
    </w:lvl>
  </w:abstractNum>
  <w:abstractNum w:abstractNumId="127">
    <w:nsid w:val="B37E80A"/>
    <w:multiLevelType w:val="hybridMultilevel"/>
    <w:lvl w:ilvl="0">
      <w:lvlJc w:val="left"/>
      <w:lvlText w:val="(%1)"/>
      <w:numFmt w:val="lowerLetter"/>
      <w:start w:val="2"/>
    </w:lvl>
  </w:abstractNum>
  <w:abstractNum w:abstractNumId="128">
    <w:nsid w:val="2157F6BC"/>
    <w:multiLevelType w:val="hybridMultilevel"/>
    <w:lvl w:ilvl="0">
      <w:lvlJc w:val="left"/>
      <w:lvlText w:val="(%1)"/>
      <w:numFmt w:val="lowerLetter"/>
      <w:start w:val="10"/>
    </w:lvl>
  </w:abstractNum>
  <w:abstractNum w:abstractNumId="129">
    <w:nsid w:val="704E1DD5"/>
    <w:multiLevelType w:val="hybridMultilevel"/>
    <w:lvl w:ilvl="0">
      <w:lvlJc w:val="left"/>
      <w:lvlText w:val="(%1)"/>
      <w:numFmt w:val="lowerLetter"/>
      <w:start w:val="1"/>
    </w:lvl>
    <w:lvl w:ilvl="1">
      <w:lvlJc w:val="left"/>
      <w:lvlText w:val="(%2)"/>
      <w:numFmt w:val="lowerRoman"/>
      <w:start w:val="1"/>
    </w:lvl>
  </w:abstractNum>
  <w:abstractNum w:abstractNumId="130">
    <w:nsid w:val="57D2F10E"/>
    <w:multiLevelType w:val="hybridMultilevel"/>
    <w:lvl w:ilvl="0">
      <w:lvlJc w:val="left"/>
      <w:lvlText w:val="(%1)"/>
      <w:numFmt w:val="lowerLetter"/>
      <w:start w:val="2"/>
    </w:lvl>
  </w:abstractNum>
  <w:abstractNum w:abstractNumId="131">
    <w:nsid w:val="BFFAE18"/>
    <w:multiLevelType w:val="hybridMultilevel"/>
    <w:lvl w:ilvl="0">
      <w:lvlJc w:val="left"/>
      <w:lvlText w:val="(%1)"/>
      <w:numFmt w:val="lowerLetter"/>
      <w:start w:val="4"/>
    </w:lvl>
    <w:lvl w:ilvl="1">
      <w:lvlJc w:val="left"/>
      <w:lvlText w:val="(%2)"/>
      <w:numFmt w:val="lowerRoman"/>
      <w:start w:val="1"/>
    </w:lvl>
  </w:abstractNum>
  <w:abstractNum w:abstractNumId="132">
    <w:nsid w:val="E3E47A8"/>
    <w:multiLevelType w:val="hybridMultilevel"/>
    <w:lvl w:ilvl="0">
      <w:lvlJc w:val="left"/>
      <w:lvlText w:val="(%1)"/>
      <w:numFmt w:val="lowerLetter"/>
      <w:start w:val="5"/>
    </w:lvl>
  </w:abstractNum>
  <w:abstractNum w:abstractNumId="133">
    <w:nsid w:val="2E48F044"/>
    <w:multiLevelType w:val="hybridMultilevel"/>
    <w:lvl w:ilvl="0">
      <w:lvlJc w:val="left"/>
      <w:lvlText w:val="(%1)"/>
      <w:numFmt w:val="lowerLetter"/>
      <w:start w:val="1"/>
    </w:lvl>
  </w:abstractNum>
  <w:abstractNum w:abstractNumId="134">
    <w:nsid w:val="49D0FEAC"/>
    <w:multiLevelType w:val="hybridMultilevel"/>
    <w:lvl w:ilvl="0">
      <w:lvlJc w:val="left"/>
      <w:lvlText w:val="(%1)"/>
      <w:numFmt w:val="lowerLetter"/>
      <w:start w:val="1"/>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lowerLetter"/>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jpe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jpe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9" Type="http://schemas.openxmlformats.org/officeDocument/2006/relationships/hyperlink" Target="https://www.sec.gov/Archives/edgar/data/1812477/000121390024107072/ea0223977-40fa1_bitfarms.htm" TargetMode="External"/><Relationship Id="rId20" Type="http://schemas.openxmlformats.org/officeDocument/2006/relationships/hyperlink" Target="https://www.sec.gov/Archives/edgar/data/1812477/000121390021023256/ea139842-40fr12b_bitfarms.htm" TargetMode="External"/><Relationship Id="rId21" Type="http://schemas.openxmlformats.org/officeDocument/2006/relationships/hyperlink" Target="https://www.sec.gov/Archives/edgar/data/1812477/000121390021032713/ea142433-40fr12ba1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2025-03-19T05:31:10Z</dcterms:created>
  <dcterms:modified xsi:type="dcterms:W3CDTF">2025-03-19T05:31:10Z</dcterms:modified>
</cp:coreProperties>
</file>