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For the month of November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Commission File Number: 333-258788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BITFARMS LTD.</w:t>
      </w:r>
    </w:p>
    <w:p>
      <w:pPr>
        <w:spacing w:after="0" w:line="45"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18 King Street East, Suite 902, Toronto, Ontario, Canada M5C 1C4</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8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jc w:val="both"/>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including the interim condensed consolidated financial statements for the three and nine months ended September 30, 2022 and management’s discussion and analysis for the three and nine months ended September 30, 2022, shall be deemed to be incorporated by reference as exhibits to the Registration Statement of Bitfarms Ltd. on Form F-10 (File No. </w:t>
      </w:r>
      <w:hyperlink r:id="rId19">
        <w:r>
          <w:rPr>
            <w:rFonts w:ascii="Times New Roman" w:cs="Times New Roman" w:eastAsia="Times New Roman" w:hAnsi="Times New Roman"/>
            <w:sz w:val="18"/>
            <w:szCs w:val="18"/>
            <w:u w:val="single" w:color="auto"/>
            <w:color w:val="0000EE"/>
          </w:rPr>
          <w:t>333-258788</w:t>
        </w:r>
      </w:hyperlink>
      <w:r>
        <w:rPr>
          <w:rFonts w:ascii="Times New Roman" w:cs="Times New Roman" w:eastAsia="Times New Roman" w:hAnsi="Times New Roman"/>
          <w:sz w:val="18"/>
          <w:szCs w:val="18"/>
          <w:color w:val="auto"/>
        </w:rPr>
        <w:t>) and to be a part thereof from the date on which this report was furnished, to the extent not superseded by documents or reports subsequently filed or furnished.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9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6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Interim Condensed Consolidated Financial Statements for the three and nine months ended September 30, 2022</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&amp; Analysis for the three and nine months ended September 30, 2022</w:t>
            </w:r>
          </w:p>
        </w:tc>
        <w:tc>
          <w:tcPr>
            <w:tcW w:w="2060" w:type="dxa"/>
            <w:vAlign w:val="bottom"/>
            <w:tcBorders>
              <w:top w:val="single" w:sz="8" w:color="CCEEFF"/>
            </w:tcBorders>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Borders>
              <w:top w:val="single" w:sz="8" w:color="0000EE"/>
            </w:tcBorders>
          </w:tcPr>
          <w:p>
            <w:pPr>
              <w:spacing w:after="0" w:line="20" w:lineRule="exact"/>
              <w:rPr>
                <w:sz w:val="1"/>
                <w:szCs w:val="1"/>
                <w:color w:val="auto"/>
              </w:rPr>
            </w:pPr>
          </w:p>
        </w:tc>
        <w:tc>
          <w:tcPr>
            <w:tcW w:w="3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CEO Certification of Interim Filings - Interim Certificate dated November 14, 2022</w:t>
            </w:r>
          </w:p>
        </w:tc>
      </w:tr>
      <w:tr>
        <w:trPr>
          <w:trHeight w:val="176"/>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top w:val="single" w:sz="8" w:color="CCEEFF"/>
            </w:tcBorders>
          </w:tcPr>
          <w:p>
            <w:pPr>
              <w:spacing w:after="0"/>
              <w:rPr>
                <w:sz w:val="15"/>
                <w:szCs w:val="15"/>
                <w:color w:val="auto"/>
              </w:rPr>
            </w:pPr>
          </w:p>
        </w:tc>
        <w:tc>
          <w:tcPr>
            <w:tcW w:w="6020" w:type="dxa"/>
            <w:vAlign w:val="bottom"/>
            <w:tcBorders>
              <w:top w:val="single" w:sz="8" w:color="0000EE"/>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9"/>
              </w:rPr>
              <w:t>CFO Certification of Interim Filings - Interim Certificate dated November 14, 2022</w:t>
            </w:r>
          </w:p>
        </w:tc>
        <w:tc>
          <w:tcPr>
            <w:tcW w:w="4080" w:type="dxa"/>
            <w:vAlign w:val="bottom"/>
            <w:tcBorders>
              <w:top w:val="single" w:sz="8" w:color="CCEEFF"/>
            </w:tcBorders>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120" w:type="dxa"/>
            <w:vAlign w:val="bottom"/>
            <w:shd w:val="clear" w:color="auto" w:fill="CCEEFF"/>
          </w:tcPr>
          <w:p>
            <w:pPr>
              <w:spacing w:after="0"/>
              <w:rPr>
                <w:sz w:val="17"/>
                <w:szCs w:val="17"/>
                <w:color w:val="auto"/>
              </w:rPr>
            </w:pPr>
          </w:p>
        </w:tc>
        <w:tc>
          <w:tcPr>
            <w:tcW w:w="101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dated November 14, 2022</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900" w:type="dxa"/>
            <w:vAlign w:val="bottom"/>
            <w:tcBorders>
              <w:top w:val="single" w:sz="8" w:color="0000EE"/>
              <w:bottom w:val="single" w:sz="8" w:color="auto"/>
            </w:tcBorders>
          </w:tcPr>
          <w:p>
            <w:pPr>
              <w:spacing w:after="0"/>
              <w:rPr>
                <w:sz w:val="24"/>
                <w:szCs w:val="24"/>
                <w:color w:val="auto"/>
              </w:rPr>
            </w:pPr>
          </w:p>
        </w:tc>
        <w:tc>
          <w:tcPr>
            <w:tcW w:w="3120" w:type="dxa"/>
            <w:vAlign w:val="bottom"/>
            <w:tcBorders>
              <w:top w:val="single" w:sz="8" w:color="CCEEFF"/>
              <w:bottom w:val="single" w:sz="8" w:color="auto"/>
            </w:tcBorders>
          </w:tcPr>
          <w:p>
            <w:pPr>
              <w:jc w:val="right"/>
              <w:ind w:right="141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CCEEFF"/>
              <w:bottom w:val="single" w:sz="8" w:color="auto"/>
            </w:tcBorders>
          </w:tcPr>
          <w:p>
            <w:pPr>
              <w:spacing w:after="0"/>
              <w:rPr>
                <w:sz w:val="24"/>
                <w:szCs w:val="24"/>
                <w:color w:val="auto"/>
              </w:rPr>
            </w:pPr>
          </w:p>
        </w:tc>
        <w:tc>
          <w:tcPr>
            <w:tcW w:w="20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L. Geoffrey Morphy</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1557020</wp:posOffset>
            </wp:positionV>
            <wp:extent cx="204025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04025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INTERIM CONDENSED CONSOLIDATED FINANCIAL STATEMENTS (UNAUDITED) FOR THE THREE AND NINE MONTHS ENDED SEPTEMBER 30, 2022 AND 2021 </w:t>
      </w:r>
      <w:r>
        <w:rPr>
          <w:rFonts w:ascii="Times New Roman" w:cs="Times New Roman" w:eastAsia="Times New Roman" w:hAnsi="Times New Roman"/>
          <w:sz w:val="18"/>
          <w:szCs w:val="18"/>
          <w:color w:val="auto"/>
        </w:rPr>
        <w:t>(EXPRESSED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1922780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FINANCIAL POSITION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8"/>
              </w:rPr>
              <w:t>As of September 30,</w:t>
            </w:r>
          </w:p>
        </w:tc>
        <w:tc>
          <w:tcPr>
            <w:tcW w:w="16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As of December 31,</w:t>
            </w:r>
          </w:p>
        </w:tc>
        <w:tc>
          <w:tcPr>
            <w:tcW w:w="0" w:type="dxa"/>
            <w:vAlign w:val="bottom"/>
          </w:tcPr>
          <w:p>
            <w:pPr>
              <w:spacing w:after="0"/>
              <w:rPr>
                <w:sz w:val="1"/>
                <w:szCs w:val="1"/>
                <w:color w:val="auto"/>
              </w:rPr>
            </w:pPr>
          </w:p>
        </w:tc>
      </w:tr>
      <w:tr>
        <w:trPr>
          <w:trHeight w:val="209"/>
        </w:trPr>
        <w:tc>
          <w:tcPr>
            <w:tcW w:w="56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60" w:type="dxa"/>
            <w:vAlign w:val="bottom"/>
            <w:tcBorders>
              <w:bottom w:val="single" w:sz="8" w:color="auto"/>
            </w:tcBorders>
            <w:shd w:val="clear" w:color="auto" w:fill="ECECEC"/>
          </w:tcPr>
          <w:p>
            <w:pPr>
              <w:spacing w:after="0"/>
              <w:rPr>
                <w:sz w:val="18"/>
                <w:szCs w:val="18"/>
                <w:color w:val="auto"/>
              </w:rPr>
            </w:pPr>
          </w:p>
        </w:tc>
        <w:tc>
          <w:tcPr>
            <w:tcW w:w="1480" w:type="dxa"/>
            <w:vAlign w:val="bottom"/>
            <w:tcBorders>
              <w:bottom w:val="single" w:sz="8" w:color="auto"/>
            </w:tcBorders>
            <w:gridSpan w:val="2"/>
            <w:shd w:val="clear" w:color="auto" w:fill="ECECE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40" w:type="dxa"/>
            <w:vAlign w:val="bottom"/>
          </w:tcPr>
          <w:p>
            <w:pPr>
              <w:spacing w:after="0"/>
              <w:rPr>
                <w:sz w:val="18"/>
                <w:szCs w:val="18"/>
                <w:color w:val="auto"/>
              </w:rPr>
            </w:pP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Current</w:t>
            </w:r>
          </w:p>
        </w:tc>
        <w:tc>
          <w:tcPr>
            <w:tcW w:w="2340" w:type="dxa"/>
            <w:vAlign w:val="bottom"/>
          </w:tcPr>
          <w:p>
            <w:pPr>
              <w:spacing w:after="0"/>
              <w:rPr>
                <w:sz w:val="17"/>
                <w:szCs w:val="17"/>
                <w:color w:val="auto"/>
              </w:rPr>
            </w:pPr>
          </w:p>
        </w:tc>
        <w:tc>
          <w:tcPr>
            <w:tcW w:w="160" w:type="dxa"/>
            <w:vAlign w:val="bottom"/>
            <w:shd w:val="clear" w:color="auto" w:fill="ECECEC"/>
          </w:tcPr>
          <w:p>
            <w:pPr>
              <w:spacing w:after="0"/>
              <w:rPr>
                <w:sz w:val="17"/>
                <w:szCs w:val="17"/>
                <w:color w:val="auto"/>
              </w:rPr>
            </w:pPr>
          </w:p>
        </w:tc>
        <w:tc>
          <w:tcPr>
            <w:tcW w:w="138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35,814</w:t>
            </w:r>
          </w:p>
        </w:tc>
        <w:tc>
          <w:tcPr>
            <w:tcW w:w="100" w:type="dxa"/>
            <w:vAlign w:val="bottom"/>
            <w:shd w:val="clear" w:color="auto" w:fill="ECECEC"/>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340" w:type="dxa"/>
            <w:vAlign w:val="bottom"/>
          </w:tcPr>
          <w:p>
            <w:pPr>
              <w:spacing w:after="0"/>
              <w:rPr>
                <w:sz w:val="18"/>
                <w:szCs w:val="18"/>
                <w:color w:val="auto"/>
              </w:rPr>
            </w:pPr>
          </w:p>
        </w:tc>
        <w:tc>
          <w:tcPr>
            <w:tcW w:w="160" w:type="dxa"/>
            <w:vAlign w:val="bottom"/>
            <w:shd w:val="clear" w:color="auto" w:fill="ECECEC"/>
          </w:tcPr>
          <w:p>
            <w:pPr>
              <w:spacing w:after="0"/>
              <w:rPr>
                <w:sz w:val="18"/>
                <w:szCs w:val="18"/>
                <w:color w:val="auto"/>
              </w:rPr>
            </w:pPr>
          </w:p>
        </w:tc>
        <w:tc>
          <w:tcPr>
            <w:tcW w:w="138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125,595</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receivables</w:t>
            </w:r>
          </w:p>
        </w:tc>
        <w:tc>
          <w:tcPr>
            <w:tcW w:w="2340" w:type="dxa"/>
            <w:vAlign w:val="bottom"/>
          </w:tcPr>
          <w:p>
            <w:pPr>
              <w:spacing w:after="0"/>
              <w:rPr>
                <w:sz w:val="18"/>
                <w:szCs w:val="18"/>
                <w:color w:val="auto"/>
              </w:rPr>
            </w:pP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1,415</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11,350</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6,427</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340" w:type="dxa"/>
            <w:vAlign w:val="bottom"/>
          </w:tcPr>
          <w:p>
            <w:pPr>
              <w:spacing w:after="0"/>
              <w:rPr>
                <w:sz w:val="18"/>
                <w:szCs w:val="18"/>
                <w:color w:val="auto"/>
              </w:rPr>
            </w:pP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12,392</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6,615</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66,031</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 pledged as collateral</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5, 10, 11</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33,496</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86,825</w:t>
            </w:r>
          </w:p>
        </w:tc>
        <w:tc>
          <w:tcPr>
            <w:tcW w:w="0" w:type="dxa"/>
            <w:vAlign w:val="bottom"/>
          </w:tcPr>
          <w:p>
            <w:pPr>
              <w:spacing w:after="0"/>
              <w:rPr>
                <w:sz w:val="1"/>
                <w:szCs w:val="1"/>
                <w:color w:val="auto"/>
              </w:rPr>
            </w:pPr>
          </w:p>
        </w:tc>
      </w:tr>
      <w:tr>
        <w:trPr>
          <w:trHeight w:val="265"/>
        </w:trPr>
        <w:tc>
          <w:tcPr>
            <w:tcW w:w="5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160" w:type="dxa"/>
            <w:vAlign w:val="bottom"/>
            <w:tcBorders>
              <w:bottom w:val="single" w:sz="8" w:color="auto"/>
            </w:tcBorders>
            <w:shd w:val="clear" w:color="auto" w:fill="ECECEC"/>
          </w:tcPr>
          <w:p>
            <w:pPr>
              <w:spacing w:after="0"/>
              <w:rPr>
                <w:sz w:val="23"/>
                <w:szCs w:val="23"/>
                <w:color w:val="auto"/>
              </w:rPr>
            </w:pPr>
          </w:p>
        </w:tc>
        <w:tc>
          <w:tcPr>
            <w:tcW w:w="13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1,729</w:t>
            </w:r>
          </w:p>
        </w:tc>
        <w:tc>
          <w:tcPr>
            <w:tcW w:w="100" w:type="dxa"/>
            <w:vAlign w:val="bottom"/>
            <w:tcBorders>
              <w:bottom w:val="single" w:sz="8" w:color="auto"/>
            </w:tcBorders>
            <w:shd w:val="clear" w:color="auto" w:fill="ECECEC"/>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32"/>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w:t>
            </w:r>
          </w:p>
        </w:tc>
        <w:tc>
          <w:tcPr>
            <w:tcW w:w="2340" w:type="dxa"/>
            <w:vAlign w:val="bottom"/>
          </w:tcPr>
          <w:p>
            <w:pPr>
              <w:spacing w:after="0"/>
              <w:rPr>
                <w:sz w:val="20"/>
                <w:szCs w:val="20"/>
                <w:color w:val="auto"/>
              </w:rPr>
            </w:pPr>
          </w:p>
        </w:tc>
        <w:tc>
          <w:tcPr>
            <w:tcW w:w="160" w:type="dxa"/>
            <w:vAlign w:val="bottom"/>
            <w:shd w:val="clear" w:color="auto" w:fill="ECECEC"/>
          </w:tcPr>
          <w:p>
            <w:pPr>
              <w:spacing w:after="0"/>
              <w:rPr>
                <w:sz w:val="20"/>
                <w:szCs w:val="20"/>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102,811</w:t>
            </w:r>
          </w:p>
        </w:tc>
        <w:tc>
          <w:tcPr>
            <w:tcW w:w="100" w:type="dxa"/>
            <w:vAlign w:val="bottom"/>
            <w:shd w:val="clear" w:color="auto" w:fill="ECECEC"/>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287,127</w:t>
            </w:r>
          </w:p>
        </w:tc>
        <w:tc>
          <w:tcPr>
            <w:tcW w:w="0" w:type="dxa"/>
            <w:vAlign w:val="bottom"/>
          </w:tcPr>
          <w:p>
            <w:pPr>
              <w:spacing w:after="0"/>
              <w:rPr>
                <w:sz w:val="1"/>
                <w:szCs w:val="1"/>
                <w:color w:val="auto"/>
              </w:rPr>
            </w:pPr>
          </w:p>
        </w:tc>
      </w:tr>
      <w:tr>
        <w:trPr>
          <w:trHeight w:val="175"/>
        </w:trPr>
        <w:tc>
          <w:tcPr>
            <w:tcW w:w="5600" w:type="dxa"/>
            <w:vAlign w:val="bottom"/>
            <w:vMerge w:val="continue"/>
          </w:tcPr>
          <w:p>
            <w:pPr>
              <w:spacing w:after="0"/>
              <w:rPr>
                <w:sz w:val="15"/>
                <w:szCs w:val="15"/>
                <w:color w:val="auto"/>
              </w:rPr>
            </w:pPr>
          </w:p>
        </w:tc>
        <w:tc>
          <w:tcPr>
            <w:tcW w:w="2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6, 19</w:t>
            </w:r>
          </w:p>
        </w:tc>
        <w:tc>
          <w:tcPr>
            <w:tcW w:w="160" w:type="dxa"/>
            <w:vAlign w:val="bottom"/>
            <w:shd w:val="clear" w:color="auto" w:fill="ECECEC"/>
          </w:tcPr>
          <w:p>
            <w:pPr>
              <w:spacing w:after="0"/>
              <w:rPr>
                <w:sz w:val="15"/>
                <w:szCs w:val="15"/>
                <w:color w:val="auto"/>
              </w:rPr>
            </w:pPr>
          </w:p>
        </w:tc>
        <w:tc>
          <w:tcPr>
            <w:tcW w:w="138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220,129</w:t>
            </w:r>
          </w:p>
        </w:tc>
        <w:tc>
          <w:tcPr>
            <w:tcW w:w="100" w:type="dxa"/>
            <w:vAlign w:val="bottom"/>
            <w:shd w:val="clear" w:color="auto" w:fill="ECECEC"/>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340" w:type="dxa"/>
            <w:vAlign w:val="bottom"/>
            <w:vMerge w:val="continue"/>
          </w:tcPr>
          <w:p>
            <w:pPr>
              <w:spacing w:after="0"/>
              <w:rPr>
                <w:sz w:val="18"/>
                <w:szCs w:val="18"/>
                <w:color w:val="auto"/>
              </w:rPr>
            </w:pPr>
          </w:p>
        </w:tc>
        <w:tc>
          <w:tcPr>
            <w:tcW w:w="160" w:type="dxa"/>
            <w:vAlign w:val="bottom"/>
            <w:shd w:val="clear" w:color="auto" w:fill="ECECEC"/>
          </w:tcPr>
          <w:p>
            <w:pPr>
              <w:spacing w:after="0"/>
              <w:rPr>
                <w:sz w:val="18"/>
                <w:szCs w:val="18"/>
                <w:color w:val="auto"/>
              </w:rPr>
            </w:pPr>
          </w:p>
        </w:tc>
        <w:tc>
          <w:tcPr>
            <w:tcW w:w="138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136,850</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15,355</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9,397</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deposits, equipment prepayments and other</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38,405</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86,681</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260</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16,955</w:t>
            </w:r>
          </w:p>
        </w:tc>
        <w:tc>
          <w:tcPr>
            <w:tcW w:w="0" w:type="dxa"/>
            <w:vAlign w:val="bottom"/>
          </w:tcPr>
          <w:p>
            <w:pPr>
              <w:spacing w:after="0"/>
              <w:rPr>
                <w:sz w:val="1"/>
                <w:szCs w:val="1"/>
                <w:color w:val="auto"/>
              </w:rPr>
            </w:pPr>
          </w:p>
        </w:tc>
      </w:tr>
      <w:tr>
        <w:trPr>
          <w:trHeight w:val="265"/>
        </w:trPr>
        <w:tc>
          <w:tcPr>
            <w:tcW w:w="5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Deferred tax asset</w:t>
            </w:r>
          </w:p>
        </w:tc>
        <w:tc>
          <w:tcPr>
            <w:tcW w:w="2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tcBorders>
              <w:bottom w:val="single" w:sz="8" w:color="auto"/>
            </w:tcBorders>
            <w:shd w:val="clear" w:color="auto" w:fill="ECECEC"/>
          </w:tcPr>
          <w:p>
            <w:pPr>
              <w:spacing w:after="0"/>
              <w:rPr>
                <w:sz w:val="23"/>
                <w:szCs w:val="23"/>
                <w:color w:val="auto"/>
              </w:rPr>
            </w:pPr>
          </w:p>
        </w:tc>
        <w:tc>
          <w:tcPr>
            <w:tcW w:w="13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ECECEC"/>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3,896</w:t>
            </w: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40" w:type="dxa"/>
            <w:vAlign w:val="bottom"/>
          </w:tcPr>
          <w:p>
            <w:pPr>
              <w:spacing w:after="0"/>
              <w:rPr>
                <w:sz w:val="24"/>
                <w:szCs w:val="24"/>
                <w:color w:val="auto"/>
              </w:rPr>
            </w:pPr>
          </w:p>
        </w:tc>
        <w:tc>
          <w:tcPr>
            <w:tcW w:w="160" w:type="dxa"/>
            <w:vAlign w:val="bottom"/>
            <w:tcBorders>
              <w:bottom w:val="single" w:sz="8" w:color="ECECEC"/>
            </w:tcBorders>
            <w:shd w:val="clear" w:color="auto" w:fill="ECECEC"/>
          </w:tcPr>
          <w:p>
            <w:pPr>
              <w:spacing w:after="0"/>
              <w:rPr>
                <w:sz w:val="24"/>
                <w:szCs w:val="24"/>
                <w:color w:val="auto"/>
              </w:rPr>
            </w:pPr>
          </w:p>
        </w:tc>
        <w:tc>
          <w:tcPr>
            <w:tcW w:w="138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376,960</w:t>
            </w:r>
          </w:p>
        </w:tc>
        <w:tc>
          <w:tcPr>
            <w:tcW w:w="100" w:type="dxa"/>
            <w:vAlign w:val="bottom"/>
            <w:tcBorders>
              <w:bottom w:val="single" w:sz="8" w:color="ECECEC"/>
            </w:tcBorders>
            <w:shd w:val="clear" w:color="auto" w:fill="ECECEC"/>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542,587</w:t>
            </w:r>
          </w:p>
        </w:tc>
        <w:tc>
          <w:tcPr>
            <w:tcW w:w="0" w:type="dxa"/>
            <w:vAlign w:val="bottom"/>
          </w:tcPr>
          <w:p>
            <w:pPr>
              <w:spacing w:after="0"/>
              <w:rPr>
                <w:sz w:val="1"/>
                <w:szCs w:val="1"/>
                <w:color w:val="auto"/>
              </w:rPr>
            </w:pPr>
          </w:p>
        </w:tc>
      </w:tr>
      <w:tr>
        <w:trPr>
          <w:trHeight w:val="198"/>
        </w:trPr>
        <w:tc>
          <w:tcPr>
            <w:tcW w:w="56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shd w:val="clear" w:color="auto" w:fill="ECECEC"/>
          </w:tcPr>
          <w:p>
            <w:pPr>
              <w:spacing w:after="0"/>
              <w:rPr>
                <w:sz w:val="17"/>
                <w:szCs w:val="17"/>
                <w:color w:val="auto"/>
              </w:rPr>
            </w:pPr>
          </w:p>
        </w:tc>
        <w:tc>
          <w:tcPr>
            <w:tcW w:w="1380" w:type="dxa"/>
            <w:vAlign w:val="bottom"/>
            <w:tcBorders>
              <w:top w:val="single" w:sz="8" w:color="auto"/>
            </w:tcBorders>
            <w:shd w:val="clear" w:color="auto" w:fill="ECECEC"/>
          </w:tcPr>
          <w:p>
            <w:pPr>
              <w:spacing w:after="0"/>
              <w:rPr>
                <w:sz w:val="17"/>
                <w:szCs w:val="17"/>
                <w:color w:val="auto"/>
              </w:rPr>
            </w:pPr>
          </w:p>
        </w:tc>
        <w:tc>
          <w:tcPr>
            <w:tcW w:w="100" w:type="dxa"/>
            <w:vAlign w:val="bottom"/>
            <w:tcBorders>
              <w:top w:val="single" w:sz="8" w:color="auto"/>
            </w:tcBorders>
            <w:shd w:val="clear" w:color="auto" w:fill="ECECEC"/>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shd w:val="clear" w:color="auto" w:fill="ECECEC"/>
          </w:tcPr>
          <w:p>
            <w:pPr>
              <w:spacing w:after="0"/>
              <w:rPr>
                <w:sz w:val="18"/>
                <w:szCs w:val="18"/>
                <w:color w:val="auto"/>
              </w:rPr>
            </w:pPr>
          </w:p>
        </w:tc>
        <w:tc>
          <w:tcPr>
            <w:tcW w:w="138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16,002</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payables and accrued liabilities</w:t>
            </w:r>
          </w:p>
        </w:tc>
        <w:tc>
          <w:tcPr>
            <w:tcW w:w="2340" w:type="dxa"/>
            <w:vAlign w:val="bottom"/>
            <w:vMerge w:val="continue"/>
          </w:tcPr>
          <w:p>
            <w:pPr>
              <w:spacing w:after="0"/>
              <w:rPr>
                <w:sz w:val="18"/>
                <w:szCs w:val="18"/>
                <w:color w:val="auto"/>
              </w:rPr>
            </w:pPr>
          </w:p>
        </w:tc>
        <w:tc>
          <w:tcPr>
            <w:tcW w:w="160" w:type="dxa"/>
            <w:vAlign w:val="bottom"/>
            <w:shd w:val="clear" w:color="auto" w:fill="ECECEC"/>
          </w:tcPr>
          <w:p>
            <w:pPr>
              <w:spacing w:after="0"/>
              <w:rPr>
                <w:sz w:val="18"/>
                <w:szCs w:val="18"/>
                <w:color w:val="auto"/>
              </w:rPr>
            </w:pPr>
          </w:p>
        </w:tc>
        <w:tc>
          <w:tcPr>
            <w:tcW w:w="138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14,480</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38,772</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10,257</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3,926</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20"/>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facility</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w:t>
            </w:r>
          </w:p>
        </w:tc>
        <w:tc>
          <w:tcPr>
            <w:tcW w:w="160" w:type="dxa"/>
            <w:vAlign w:val="bottom"/>
            <w:shd w:val="clear" w:color="auto" w:fill="ECECEC"/>
          </w:tcPr>
          <w:p>
            <w:pPr>
              <w:spacing w:after="0"/>
              <w:rPr>
                <w:sz w:val="19"/>
                <w:szCs w:val="19"/>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23,357</w:t>
            </w:r>
          </w:p>
        </w:tc>
        <w:tc>
          <w:tcPr>
            <w:tcW w:w="100" w:type="dxa"/>
            <w:vAlign w:val="bottom"/>
            <w:shd w:val="clear" w:color="auto" w:fill="ECECEC"/>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60,002</w:t>
            </w:r>
          </w:p>
        </w:tc>
        <w:tc>
          <w:tcPr>
            <w:tcW w:w="0" w:type="dxa"/>
            <w:vAlign w:val="bottom"/>
          </w:tcPr>
          <w:p>
            <w:pPr>
              <w:spacing w:after="0"/>
              <w:rPr>
                <w:sz w:val="1"/>
                <w:szCs w:val="1"/>
                <w:color w:val="auto"/>
              </w:rPr>
            </w:pPr>
          </w:p>
        </w:tc>
      </w:tr>
      <w:tr>
        <w:trPr>
          <w:trHeight w:val="261"/>
        </w:trPr>
        <w:tc>
          <w:tcPr>
            <w:tcW w:w="5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shd w:val="clear" w:color="auto" w:fill="ECECEC"/>
          </w:tcPr>
          <w:p>
            <w:pPr>
              <w:spacing w:after="0"/>
              <w:rPr>
                <w:sz w:val="22"/>
                <w:szCs w:val="22"/>
                <w:color w:val="auto"/>
              </w:rPr>
            </w:pPr>
          </w:p>
        </w:tc>
        <w:tc>
          <w:tcPr>
            <w:tcW w:w="13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ECECEC"/>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12,093</w:t>
            </w:r>
          </w:p>
        </w:tc>
        <w:tc>
          <w:tcPr>
            <w:tcW w:w="0" w:type="dxa"/>
            <w:vAlign w:val="bottom"/>
          </w:tcPr>
          <w:p>
            <w:pPr>
              <w:spacing w:after="0"/>
              <w:rPr>
                <w:sz w:val="1"/>
                <w:szCs w:val="1"/>
                <w:color w:val="auto"/>
              </w:rPr>
            </w:pPr>
          </w:p>
        </w:tc>
      </w:tr>
      <w:tr>
        <w:trPr>
          <w:trHeight w:val="232"/>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Non-current</w:t>
            </w:r>
          </w:p>
        </w:tc>
        <w:tc>
          <w:tcPr>
            <w:tcW w:w="2340" w:type="dxa"/>
            <w:vAlign w:val="bottom"/>
          </w:tcPr>
          <w:p>
            <w:pPr>
              <w:spacing w:after="0"/>
              <w:rPr>
                <w:sz w:val="20"/>
                <w:szCs w:val="20"/>
                <w:color w:val="auto"/>
              </w:rPr>
            </w:pPr>
          </w:p>
        </w:tc>
        <w:tc>
          <w:tcPr>
            <w:tcW w:w="160" w:type="dxa"/>
            <w:vAlign w:val="bottom"/>
            <w:shd w:val="clear" w:color="auto" w:fill="ECECEC"/>
          </w:tcPr>
          <w:p>
            <w:pPr>
              <w:spacing w:after="0"/>
              <w:rPr>
                <w:sz w:val="20"/>
                <w:szCs w:val="20"/>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82,057</w:t>
            </w:r>
          </w:p>
        </w:tc>
        <w:tc>
          <w:tcPr>
            <w:tcW w:w="100" w:type="dxa"/>
            <w:vAlign w:val="bottom"/>
            <w:shd w:val="clear" w:color="auto" w:fill="ECECEC"/>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101,178</w:t>
            </w:r>
          </w:p>
        </w:tc>
        <w:tc>
          <w:tcPr>
            <w:tcW w:w="0" w:type="dxa"/>
            <w:vAlign w:val="bottom"/>
          </w:tcPr>
          <w:p>
            <w:pPr>
              <w:spacing w:after="0"/>
              <w:rPr>
                <w:sz w:val="1"/>
                <w:szCs w:val="1"/>
                <w:color w:val="auto"/>
              </w:rPr>
            </w:pPr>
          </w:p>
        </w:tc>
      </w:tr>
      <w:tr>
        <w:trPr>
          <w:trHeight w:val="175"/>
        </w:trPr>
        <w:tc>
          <w:tcPr>
            <w:tcW w:w="5600" w:type="dxa"/>
            <w:vAlign w:val="bottom"/>
            <w:vMerge w:val="continue"/>
          </w:tcPr>
          <w:p>
            <w:pPr>
              <w:spacing w:after="0"/>
              <w:rPr>
                <w:sz w:val="15"/>
                <w:szCs w:val="15"/>
                <w:color w:val="auto"/>
              </w:rPr>
            </w:pPr>
          </w:p>
        </w:tc>
        <w:tc>
          <w:tcPr>
            <w:tcW w:w="23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w:t>
            </w:r>
          </w:p>
        </w:tc>
        <w:tc>
          <w:tcPr>
            <w:tcW w:w="160" w:type="dxa"/>
            <w:vAlign w:val="bottom"/>
            <w:shd w:val="clear" w:color="auto" w:fill="ECECEC"/>
          </w:tcPr>
          <w:p>
            <w:pPr>
              <w:spacing w:after="0"/>
              <w:rPr>
                <w:sz w:val="15"/>
                <w:szCs w:val="15"/>
                <w:color w:val="auto"/>
              </w:rPr>
            </w:pPr>
          </w:p>
        </w:tc>
        <w:tc>
          <w:tcPr>
            <w:tcW w:w="138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16,527</w:t>
            </w:r>
          </w:p>
        </w:tc>
        <w:tc>
          <w:tcPr>
            <w:tcW w:w="100" w:type="dxa"/>
            <w:vAlign w:val="bottom"/>
            <w:shd w:val="clear" w:color="auto" w:fill="ECECEC"/>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340" w:type="dxa"/>
            <w:vAlign w:val="bottom"/>
            <w:vMerge w:val="continue"/>
          </w:tcPr>
          <w:p>
            <w:pPr>
              <w:spacing w:after="0"/>
              <w:rPr>
                <w:sz w:val="18"/>
                <w:szCs w:val="18"/>
                <w:color w:val="auto"/>
              </w:rPr>
            </w:pPr>
          </w:p>
        </w:tc>
        <w:tc>
          <w:tcPr>
            <w:tcW w:w="160" w:type="dxa"/>
            <w:vAlign w:val="bottom"/>
            <w:shd w:val="clear" w:color="auto" w:fill="ECECEC"/>
          </w:tcPr>
          <w:p>
            <w:pPr>
              <w:spacing w:after="0"/>
              <w:rPr>
                <w:sz w:val="18"/>
                <w:szCs w:val="18"/>
                <w:color w:val="auto"/>
              </w:rPr>
            </w:pPr>
          </w:p>
        </w:tc>
        <w:tc>
          <w:tcPr>
            <w:tcW w:w="138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13,557</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9,227</w:t>
            </w:r>
          </w:p>
        </w:tc>
        <w:tc>
          <w:tcPr>
            <w:tcW w:w="0" w:type="dxa"/>
            <w:vAlign w:val="bottom"/>
          </w:tcPr>
          <w:p>
            <w:pPr>
              <w:spacing w:after="0"/>
              <w:rPr>
                <w:sz w:val="1"/>
                <w:szCs w:val="1"/>
                <w:color w:val="auto"/>
              </w:rPr>
            </w:pPr>
          </w:p>
        </w:tc>
      </w:tr>
      <w:tr>
        <w:trPr>
          <w:trHeight w:val="216"/>
        </w:trPr>
        <w:tc>
          <w:tcPr>
            <w:tcW w:w="5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retirement provision</w:t>
            </w:r>
          </w:p>
        </w:tc>
        <w:tc>
          <w:tcPr>
            <w:tcW w:w="2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shd w:val="clear" w:color="auto" w:fill="ECECEC"/>
          </w:tcPr>
          <w:p>
            <w:pPr>
              <w:spacing w:after="0"/>
              <w:rPr>
                <w:sz w:val="18"/>
                <w:szCs w:val="18"/>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1,778</w:t>
            </w: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65"/>
        </w:trPr>
        <w:tc>
          <w:tcPr>
            <w:tcW w:w="5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w:t>
            </w:r>
          </w:p>
        </w:tc>
        <w:tc>
          <w:tcPr>
            <w:tcW w:w="160" w:type="dxa"/>
            <w:vAlign w:val="bottom"/>
            <w:tcBorders>
              <w:bottom w:val="single" w:sz="8" w:color="auto"/>
            </w:tcBorders>
            <w:shd w:val="clear" w:color="auto" w:fill="ECECEC"/>
          </w:tcPr>
          <w:p>
            <w:pPr>
              <w:spacing w:after="0"/>
              <w:rPr>
                <w:sz w:val="23"/>
                <w:szCs w:val="23"/>
                <w:color w:val="auto"/>
              </w:rPr>
            </w:pPr>
          </w:p>
        </w:tc>
        <w:tc>
          <w:tcPr>
            <w:tcW w:w="13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shd w:val="clear" w:color="auto" w:fill="ECECEC"/>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8,451</w:t>
            </w: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340" w:type="dxa"/>
            <w:vAlign w:val="bottom"/>
          </w:tcPr>
          <w:p>
            <w:pPr>
              <w:spacing w:after="0"/>
              <w:rPr>
                <w:sz w:val="24"/>
                <w:szCs w:val="24"/>
                <w:color w:val="auto"/>
              </w:rPr>
            </w:pPr>
          </w:p>
        </w:tc>
        <w:tc>
          <w:tcPr>
            <w:tcW w:w="160" w:type="dxa"/>
            <w:vAlign w:val="bottom"/>
            <w:tcBorders>
              <w:bottom w:val="single" w:sz="8" w:color="ECECEC"/>
            </w:tcBorders>
            <w:shd w:val="clear" w:color="auto" w:fill="ECECEC"/>
          </w:tcPr>
          <w:p>
            <w:pPr>
              <w:spacing w:after="0"/>
              <w:rPr>
                <w:sz w:val="24"/>
                <w:szCs w:val="24"/>
                <w:color w:val="auto"/>
              </w:rPr>
            </w:pPr>
          </w:p>
        </w:tc>
        <w:tc>
          <w:tcPr>
            <w:tcW w:w="138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113,919</w:t>
            </w:r>
          </w:p>
        </w:tc>
        <w:tc>
          <w:tcPr>
            <w:tcW w:w="100" w:type="dxa"/>
            <w:vAlign w:val="bottom"/>
            <w:tcBorders>
              <w:bottom w:val="single" w:sz="8" w:color="ECECEC"/>
            </w:tcBorders>
            <w:shd w:val="clear" w:color="auto" w:fill="ECECEC"/>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120,005</w:t>
            </w:r>
          </w:p>
        </w:tc>
        <w:tc>
          <w:tcPr>
            <w:tcW w:w="0" w:type="dxa"/>
            <w:vAlign w:val="bottom"/>
          </w:tcPr>
          <w:p>
            <w:pPr>
              <w:spacing w:after="0"/>
              <w:rPr>
                <w:sz w:val="1"/>
                <w:szCs w:val="1"/>
                <w:color w:val="auto"/>
              </w:rPr>
            </w:pPr>
          </w:p>
        </w:tc>
      </w:tr>
      <w:tr>
        <w:trPr>
          <w:trHeight w:val="198"/>
        </w:trPr>
        <w:tc>
          <w:tcPr>
            <w:tcW w:w="56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23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shd w:val="clear" w:color="auto" w:fill="ECECEC"/>
          </w:tcPr>
          <w:p>
            <w:pPr>
              <w:spacing w:after="0"/>
              <w:rPr>
                <w:sz w:val="17"/>
                <w:szCs w:val="17"/>
                <w:color w:val="auto"/>
              </w:rPr>
            </w:pPr>
          </w:p>
        </w:tc>
        <w:tc>
          <w:tcPr>
            <w:tcW w:w="1380" w:type="dxa"/>
            <w:vAlign w:val="bottom"/>
            <w:tcBorders>
              <w:top w:val="single" w:sz="8" w:color="auto"/>
            </w:tcBorders>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423,546</w:t>
            </w:r>
          </w:p>
        </w:tc>
        <w:tc>
          <w:tcPr>
            <w:tcW w:w="100" w:type="dxa"/>
            <w:vAlign w:val="bottom"/>
            <w:tcBorders>
              <w:top w:val="single" w:sz="8" w:color="auto"/>
            </w:tcBorders>
            <w:shd w:val="clear" w:color="auto" w:fill="ECECEC"/>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2340" w:type="dxa"/>
            <w:vAlign w:val="bottom"/>
          </w:tcPr>
          <w:p>
            <w:pPr>
              <w:spacing w:after="0"/>
              <w:rPr>
                <w:sz w:val="18"/>
                <w:szCs w:val="18"/>
                <w:color w:val="auto"/>
              </w:rPr>
            </w:pPr>
          </w:p>
        </w:tc>
        <w:tc>
          <w:tcPr>
            <w:tcW w:w="160" w:type="dxa"/>
            <w:vAlign w:val="bottom"/>
            <w:shd w:val="clear" w:color="auto" w:fill="ECECEC"/>
          </w:tcPr>
          <w:p>
            <w:pPr>
              <w:spacing w:after="0"/>
              <w:rPr>
                <w:sz w:val="18"/>
                <w:szCs w:val="18"/>
                <w:color w:val="auto"/>
              </w:rPr>
            </w:pPr>
          </w:p>
        </w:tc>
        <w:tc>
          <w:tcPr>
            <w:tcW w:w="138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378,893</w:t>
            </w:r>
          </w:p>
        </w:tc>
        <w:tc>
          <w:tcPr>
            <w:tcW w:w="0" w:type="dxa"/>
            <w:vAlign w:val="bottom"/>
          </w:tcPr>
          <w:p>
            <w:pPr>
              <w:spacing w:after="0"/>
              <w:rPr>
                <w:sz w:val="1"/>
                <w:szCs w:val="1"/>
                <w:color w:val="auto"/>
              </w:rPr>
            </w:pPr>
          </w:p>
        </w:tc>
      </w:tr>
      <w:tr>
        <w:trPr>
          <w:trHeight w:val="2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Contributed surplus</w:t>
            </w:r>
          </w:p>
        </w:tc>
        <w:tc>
          <w:tcPr>
            <w:tcW w:w="2340" w:type="dxa"/>
            <w:vAlign w:val="bottom"/>
          </w:tcPr>
          <w:p>
            <w:pPr>
              <w:spacing w:after="0"/>
              <w:rPr>
                <w:sz w:val="19"/>
                <w:szCs w:val="19"/>
                <w:color w:val="auto"/>
              </w:rPr>
            </w:pPr>
          </w:p>
        </w:tc>
        <w:tc>
          <w:tcPr>
            <w:tcW w:w="160" w:type="dxa"/>
            <w:vAlign w:val="bottom"/>
            <w:shd w:val="clear" w:color="auto" w:fill="ECECEC"/>
          </w:tcPr>
          <w:p>
            <w:pPr>
              <w:spacing w:after="0"/>
              <w:rPr>
                <w:sz w:val="19"/>
                <w:szCs w:val="19"/>
                <w:color w:val="auto"/>
              </w:rPr>
            </w:pP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61,717</w:t>
            </w:r>
          </w:p>
        </w:tc>
        <w:tc>
          <w:tcPr>
            <w:tcW w:w="10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43,704</w:t>
            </w:r>
          </w:p>
        </w:tc>
        <w:tc>
          <w:tcPr>
            <w:tcW w:w="0" w:type="dxa"/>
            <w:vAlign w:val="bottom"/>
          </w:tcPr>
          <w:p>
            <w:pPr>
              <w:spacing w:after="0"/>
              <w:rPr>
                <w:sz w:val="1"/>
                <w:szCs w:val="1"/>
                <w:color w:val="auto"/>
              </w:rPr>
            </w:pPr>
          </w:p>
        </w:tc>
      </w:tr>
      <w:tr>
        <w:trPr>
          <w:trHeight w:val="261"/>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3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shd w:val="clear" w:color="auto" w:fill="ECECEC"/>
          </w:tcPr>
          <w:p>
            <w:pPr>
              <w:spacing w:after="0"/>
              <w:rPr>
                <w:sz w:val="22"/>
                <w:szCs w:val="22"/>
                <w:color w:val="auto"/>
              </w:rPr>
            </w:pPr>
          </w:p>
        </w:tc>
        <w:tc>
          <w:tcPr>
            <w:tcW w:w="13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100" w:type="dxa"/>
            <w:vAlign w:val="bottom"/>
            <w:tcBorders>
              <w:bottom w:val="single" w:sz="8" w:color="auto"/>
            </w:tcBorders>
            <w:vMerge w:val="continue"/>
            <w:shd w:val="clear" w:color="auto" w:fill="ECECEC"/>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shd w:val="clear" w:color="auto" w:fill="ECECEC"/>
          </w:tcPr>
          <w:p>
            <w:pPr>
              <w:spacing w:after="0"/>
              <w:rPr>
                <w:sz w:val="20"/>
                <w:szCs w:val="20"/>
                <w:color w:val="auto"/>
              </w:rPr>
            </w:pPr>
          </w:p>
        </w:tc>
        <w:tc>
          <w:tcPr>
            <w:tcW w:w="13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263,041</w:t>
            </w:r>
          </w:p>
        </w:tc>
        <w:tc>
          <w:tcPr>
            <w:tcW w:w="100" w:type="dxa"/>
            <w:vAlign w:val="bottom"/>
            <w:tcBorders>
              <w:bottom w:val="single" w:sz="8" w:color="auto"/>
            </w:tcBorders>
            <w:shd w:val="clear" w:color="auto" w:fill="ECECEC"/>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422,582</w:t>
            </w:r>
          </w:p>
        </w:tc>
        <w:tc>
          <w:tcPr>
            <w:tcW w:w="0" w:type="dxa"/>
            <w:vAlign w:val="bottom"/>
          </w:tcPr>
          <w:p>
            <w:pPr>
              <w:spacing w:after="0"/>
              <w:rPr>
                <w:sz w:val="1"/>
                <w:szCs w:val="1"/>
                <w:color w:val="auto"/>
              </w:rPr>
            </w:pPr>
          </w:p>
        </w:tc>
      </w:tr>
      <w:tr>
        <w:trPr>
          <w:trHeight w:val="284"/>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340" w:type="dxa"/>
            <w:vAlign w:val="bottom"/>
          </w:tcPr>
          <w:p>
            <w:pPr>
              <w:spacing w:after="0"/>
              <w:rPr>
                <w:sz w:val="24"/>
                <w:szCs w:val="24"/>
                <w:color w:val="auto"/>
              </w:rPr>
            </w:pPr>
          </w:p>
        </w:tc>
        <w:tc>
          <w:tcPr>
            <w:tcW w:w="160" w:type="dxa"/>
            <w:vAlign w:val="bottom"/>
            <w:tcBorders>
              <w:bottom w:val="single" w:sz="8" w:color="ECECEC"/>
            </w:tcBorders>
            <w:shd w:val="clear" w:color="auto" w:fill="ECECEC"/>
          </w:tcPr>
          <w:p>
            <w:pPr>
              <w:spacing w:after="0"/>
              <w:rPr>
                <w:sz w:val="24"/>
                <w:szCs w:val="24"/>
                <w:color w:val="auto"/>
              </w:rPr>
            </w:pPr>
          </w:p>
        </w:tc>
        <w:tc>
          <w:tcPr>
            <w:tcW w:w="1380" w:type="dxa"/>
            <w:vAlign w:val="bottom"/>
            <w:tcBorders>
              <w:bottom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376,960</w:t>
            </w:r>
          </w:p>
        </w:tc>
        <w:tc>
          <w:tcPr>
            <w:tcW w:w="100" w:type="dxa"/>
            <w:vAlign w:val="bottom"/>
            <w:tcBorders>
              <w:bottom w:val="single" w:sz="8" w:color="ECECEC"/>
            </w:tcBorders>
            <w:shd w:val="clear" w:color="auto" w:fill="ECECEC"/>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542,587</w:t>
            </w:r>
          </w:p>
        </w:tc>
        <w:tc>
          <w:tcPr>
            <w:tcW w:w="0" w:type="dxa"/>
            <w:vAlign w:val="bottom"/>
          </w:tcPr>
          <w:p>
            <w:pPr>
              <w:spacing w:after="0"/>
              <w:rPr>
                <w:sz w:val="1"/>
                <w:szCs w:val="1"/>
                <w:color w:val="auto"/>
              </w:rPr>
            </w:pPr>
          </w:p>
        </w:tc>
      </w:tr>
      <w:tr>
        <w:trPr>
          <w:trHeight w:val="432"/>
        </w:trPr>
        <w:tc>
          <w:tcPr>
            <w:tcW w:w="7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6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ind w:right="1040"/>
        <w:spacing w:after="0" w:line="250" w:lineRule="auto"/>
        <w:rPr>
          <w:sz w:val="20"/>
          <w:szCs w:val="20"/>
          <w:color w:val="auto"/>
        </w:rPr>
      </w:pPr>
      <w:r>
        <w:rPr>
          <w:rFonts w:ascii="Times New Roman" w:cs="Times New Roman" w:eastAsia="Times New Roman" w:hAnsi="Times New Roman"/>
          <w:sz w:val="18"/>
          <w:szCs w:val="18"/>
          <w:b w:val="1"/>
          <w:bCs w:val="1"/>
          <w:color w:val="auto"/>
        </w:rPr>
        <w:t>INTERIM CONDENSED CONSOLIDATED STATEMENTS OF PROFIT OR LOSS AND COMPREHENSIVE PROFIT OR LOSS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number of shares and earnings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70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w:t>
            </w:r>
          </w:p>
        </w:tc>
        <w:tc>
          <w:tcPr>
            <w:tcW w:w="100" w:type="dxa"/>
            <w:vAlign w:val="bottom"/>
          </w:tcPr>
          <w:p>
            <w:pPr>
              <w:spacing w:after="0"/>
              <w:rPr>
                <w:sz w:val="18"/>
                <w:szCs w:val="18"/>
                <w:color w:val="auto"/>
              </w:rPr>
            </w:pPr>
          </w:p>
        </w:tc>
        <w:tc>
          <w:tcPr>
            <w:tcW w:w="24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w:t>
            </w:r>
          </w:p>
        </w:tc>
        <w:tc>
          <w:tcPr>
            <w:tcW w:w="1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4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shd w:val="clear" w:color="auto" w:fill="ECECEC"/>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shd w:val="clear" w:color="auto" w:fill="ECECEC"/>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425"/>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5, 19</w:t>
            </w:r>
          </w:p>
        </w:tc>
        <w:tc>
          <w:tcPr>
            <w:tcW w:w="120" w:type="dxa"/>
            <w:vAlign w:val="bottom"/>
            <w:shd w:val="clear" w:color="auto" w:fill="ECECEC"/>
          </w:tcPr>
          <w:p>
            <w:pPr>
              <w:spacing w:after="0"/>
              <w:rPr>
                <w:sz w:val="24"/>
                <w:szCs w:val="24"/>
                <w:color w:val="auto"/>
              </w:rPr>
            </w:pPr>
          </w:p>
        </w:tc>
        <w:tc>
          <w:tcPr>
            <w:tcW w:w="10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33,247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44,774</w:t>
            </w:r>
          </w:p>
        </w:tc>
        <w:tc>
          <w:tcPr>
            <w:tcW w:w="100" w:type="dxa"/>
            <w:vAlign w:val="bottom"/>
            <w:shd w:val="clear" w:color="auto" w:fill="ECECEC"/>
          </w:tcPr>
          <w:p>
            <w:pPr>
              <w:spacing w:after="0"/>
              <w:rPr>
                <w:sz w:val="24"/>
                <w:szCs w:val="24"/>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115,391</w:t>
            </w:r>
          </w:p>
        </w:tc>
        <w:tc>
          <w:tcPr>
            <w:tcW w:w="12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109,893</w:t>
            </w:r>
          </w:p>
        </w:tc>
        <w:tc>
          <w:tcPr>
            <w:tcW w:w="0" w:type="dxa"/>
            <w:vAlign w:val="bottom"/>
          </w:tcPr>
          <w:p>
            <w:pPr>
              <w:spacing w:after="0"/>
              <w:rPr>
                <w:sz w:val="1"/>
                <w:szCs w:val="1"/>
                <w:color w:val="auto"/>
              </w:rPr>
            </w:pPr>
          </w:p>
        </w:tc>
      </w:tr>
      <w:tr>
        <w:trPr>
          <w:trHeight w:val="24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auto"/>
            </w:tcBorders>
            <w:shd w:val="clear" w:color="auto" w:fill="ECECEC"/>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37,186</w:t>
            </w: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15,306</w:t>
            </w:r>
          </w:p>
        </w:tc>
        <w:tc>
          <w:tcPr>
            <w:tcW w:w="10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92,789</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37,758</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CECEC"/>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(3,939</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29,468</w:t>
            </w:r>
          </w:p>
        </w:tc>
        <w:tc>
          <w:tcPr>
            <w:tcW w:w="10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22,602</w:t>
            </w: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72,135</w:t>
            </w:r>
          </w:p>
        </w:tc>
        <w:tc>
          <w:tcPr>
            <w:tcW w:w="0" w:type="dxa"/>
            <w:vAlign w:val="bottom"/>
          </w:tcPr>
          <w:p>
            <w:pPr>
              <w:spacing w:after="0"/>
              <w:rPr>
                <w:sz w:val="1"/>
                <w:szCs w:val="1"/>
                <w:color w:val="auto"/>
              </w:rPr>
            </w:pP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5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ECECEC"/>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10,299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shd w:val="clear" w:color="auto" w:fill="ECECEC"/>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39,534</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vMerge w:val="continue"/>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10,884</w:t>
            </w:r>
          </w:p>
        </w:tc>
        <w:tc>
          <w:tcPr>
            <w:tcW w:w="100" w:type="dxa"/>
            <w:vAlign w:val="bottom"/>
            <w:shd w:val="clear" w:color="auto" w:fill="ECECEC"/>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24,310</w:t>
            </w:r>
          </w:p>
        </w:tc>
        <w:tc>
          <w:tcPr>
            <w:tcW w:w="0" w:type="dxa"/>
            <w:vAlign w:val="bottom"/>
          </w:tcPr>
          <w:p>
            <w:pPr>
              <w:spacing w:after="0"/>
              <w:rPr>
                <w:sz w:val="1"/>
                <w:szCs w:val="1"/>
                <w:color w:val="auto"/>
              </w:rPr>
            </w:pPr>
          </w:p>
        </w:tc>
      </w:tr>
      <w:tr>
        <w:trPr>
          <w:trHeight w:val="22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ECECEC"/>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ECECEC"/>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122,243</w:t>
            </w:r>
          </w:p>
        </w:tc>
        <w:tc>
          <w:tcPr>
            <w:tcW w:w="1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(gain) loss on revaluation of digital</w:t>
            </w:r>
          </w:p>
        </w:tc>
        <w:tc>
          <w:tcPr>
            <w:tcW w:w="15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ECECEC"/>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(45,655)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21,118</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1500" w:type="dxa"/>
            <w:vAlign w:val="bottom"/>
            <w:vMerge w:val="continue"/>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(13,893)</w:t>
            </w:r>
          </w:p>
        </w:tc>
        <w:tc>
          <w:tcPr>
            <w:tcW w:w="100" w:type="dxa"/>
            <w:vAlign w:val="bottom"/>
            <w:shd w:val="clear" w:color="auto" w:fill="ECECEC"/>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2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property, plant and equipment</w:t>
            </w:r>
          </w:p>
        </w:tc>
        <w:tc>
          <w:tcPr>
            <w:tcW w:w="1500" w:type="dxa"/>
            <w:vAlign w:val="bottom"/>
          </w:tcPr>
          <w:p>
            <w:pPr>
              <w:spacing w:after="0"/>
              <w:rPr>
                <w:sz w:val="19"/>
                <w:szCs w:val="19"/>
                <w:color w:val="auto"/>
              </w:rPr>
            </w:pPr>
          </w:p>
        </w:tc>
        <w:tc>
          <w:tcPr>
            <w:tcW w:w="120" w:type="dxa"/>
            <w:vAlign w:val="bottom"/>
            <w:shd w:val="clear" w:color="auto" w:fill="ECECEC"/>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ECECEC"/>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1,692</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on equipment and construction prepayments,</w:t>
            </w:r>
          </w:p>
        </w:tc>
        <w:tc>
          <w:tcPr>
            <w:tcW w:w="15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ECECEC"/>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84,116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84,116</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and right-of-use assets</w:t>
            </w:r>
          </w:p>
        </w:tc>
        <w:tc>
          <w:tcPr>
            <w:tcW w:w="1500" w:type="dxa"/>
            <w:vAlign w:val="bottom"/>
            <w:vMerge w:val="continue"/>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CECEC"/>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ECECEC"/>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CECEC"/>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17,900</w:t>
            </w:r>
          </w:p>
        </w:tc>
        <w:tc>
          <w:tcPr>
            <w:tcW w:w="1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reversal on property, plant and equipment</w:t>
            </w: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bottom w:val="single" w:sz="8" w:color="auto"/>
            </w:tcBorders>
            <w:shd w:val="clear" w:color="auto" w:fill="ECECEC"/>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Borders>
              <w:bottom w:val="single" w:sz="8" w:color="auto"/>
            </w:tcBorders>
            <w:shd w:val="clear" w:color="auto" w:fill="ECECEC"/>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Operating (loss) income</w:t>
            </w:r>
          </w:p>
        </w:tc>
        <w:tc>
          <w:tcPr>
            <w:tcW w:w="1500" w:type="dxa"/>
            <w:vAlign w:val="bottom"/>
          </w:tcPr>
          <w:p>
            <w:pPr>
              <w:spacing w:after="0"/>
              <w:rPr>
                <w:sz w:val="16"/>
                <w:szCs w:val="16"/>
                <w:color w:val="auto"/>
              </w:rPr>
            </w:pPr>
          </w:p>
        </w:tc>
        <w:tc>
          <w:tcPr>
            <w:tcW w:w="120" w:type="dxa"/>
            <w:vAlign w:val="bottom"/>
            <w:shd w:val="clear" w:color="auto" w:fill="ECECEC"/>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(97,784)</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Pr>
          <w:p>
            <w:pPr>
              <w:spacing w:after="0"/>
              <w:rPr>
                <w:sz w:val="16"/>
                <w:szCs w:val="16"/>
                <w:color w:val="auto"/>
              </w:rPr>
            </w:pPr>
          </w:p>
        </w:tc>
        <w:tc>
          <w:tcPr>
            <w:tcW w:w="122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34,090</w:t>
            </w:r>
          </w:p>
        </w:tc>
        <w:tc>
          <w:tcPr>
            <w:tcW w:w="100" w:type="dxa"/>
            <w:vAlign w:val="bottom"/>
            <w:shd w:val="clear" w:color="auto" w:fill="ECECEC"/>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(264,001)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48,636</w:t>
            </w:r>
          </w:p>
        </w:tc>
        <w:tc>
          <w:tcPr>
            <w:tcW w:w="0" w:type="dxa"/>
            <w:vAlign w:val="bottom"/>
          </w:tcPr>
          <w:p>
            <w:pPr>
              <w:spacing w:after="0"/>
              <w:rPr>
                <w:sz w:val="1"/>
                <w:szCs w:val="1"/>
                <w:color w:val="auto"/>
              </w:rPr>
            </w:pPr>
          </w:p>
        </w:tc>
      </w:tr>
      <w:tr>
        <w:trPr>
          <w:trHeight w:val="261"/>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tcBorders>
              <w:bottom w:val="single" w:sz="8" w:color="auto"/>
            </w:tcBorders>
            <w:shd w:val="clear" w:color="auto" w:fill="ECECEC"/>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(8,251</w:t>
            </w:r>
          </w:p>
        </w:tc>
        <w:tc>
          <w:tcPr>
            <w:tcW w:w="12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auto"/>
            </w:tcBorders>
            <w:shd w:val="clear" w:color="auto" w:fill="ECECEC"/>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(24,191</w:t>
            </w:r>
          </w:p>
        </w:tc>
        <w:tc>
          <w:tcPr>
            <w:tcW w:w="120" w:type="dxa"/>
            <w:vAlign w:val="bottom"/>
            <w:tcBorders>
              <w:bottom w:val="single" w:sz="8" w:color="auto"/>
            </w:tcBorders>
            <w:vMerge w:val="continue"/>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23,936</w:t>
            </w:r>
          </w:p>
        </w:tc>
        <w:tc>
          <w:tcPr>
            <w:tcW w:w="0" w:type="dxa"/>
            <w:vAlign w:val="bottom"/>
          </w:tcPr>
          <w:p>
            <w:pPr>
              <w:spacing w:after="0"/>
              <w:rPr>
                <w:sz w:val="1"/>
                <w:szCs w:val="1"/>
                <w:color w:val="auto"/>
              </w:rPr>
            </w:pPr>
          </w:p>
        </w:tc>
      </w:tr>
      <w:tr>
        <w:trPr>
          <w:trHeight w:val="237"/>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CECEC"/>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(89,533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34,706</w:t>
            </w:r>
          </w:p>
        </w:tc>
        <w:tc>
          <w:tcPr>
            <w:tcW w:w="10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(239,810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24,700</w:t>
            </w:r>
          </w:p>
        </w:tc>
        <w:tc>
          <w:tcPr>
            <w:tcW w:w="0" w:type="dxa"/>
            <w:vAlign w:val="bottom"/>
          </w:tcPr>
          <w:p>
            <w:pPr>
              <w:spacing w:after="0"/>
              <w:rPr>
                <w:sz w:val="1"/>
                <w:szCs w:val="1"/>
                <w:color w:val="auto"/>
              </w:rPr>
            </w:pPr>
          </w:p>
        </w:tc>
      </w:tr>
      <w:tr>
        <w:trPr>
          <w:trHeight w:val="236"/>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tcBorders>
              <w:bottom w:val="single" w:sz="8" w:color="auto"/>
            </w:tcBorders>
            <w:shd w:val="clear" w:color="auto" w:fill="ECECEC"/>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10,973</w:t>
            </w:r>
          </w:p>
        </w:tc>
        <w:tc>
          <w:tcPr>
            <w:tcW w:w="10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(17,603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12,247</w:t>
            </w:r>
          </w:p>
        </w:tc>
        <w:tc>
          <w:tcPr>
            <w:tcW w:w="0" w:type="dxa"/>
            <w:vAlign w:val="bottom"/>
          </w:tcPr>
          <w:p>
            <w:pPr>
              <w:spacing w:after="0"/>
              <w:rPr>
                <w:sz w:val="1"/>
                <w:szCs w:val="1"/>
                <w:color w:val="auto"/>
              </w:rPr>
            </w:pPr>
          </w:p>
        </w:tc>
      </w:tr>
      <w:tr>
        <w:trPr>
          <w:trHeight w:val="24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and total comprehensive (loss) income</w:t>
            </w: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ECECEC"/>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(84,808</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23,733</w:t>
            </w:r>
          </w:p>
        </w:tc>
        <w:tc>
          <w:tcPr>
            <w:tcW w:w="10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(222,207</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12,453</w:t>
            </w:r>
          </w:p>
        </w:tc>
        <w:tc>
          <w:tcPr>
            <w:tcW w:w="0" w:type="dxa"/>
            <w:vAlign w:val="bottom"/>
          </w:tcPr>
          <w:p>
            <w:pPr>
              <w:spacing w:after="0"/>
              <w:rPr>
                <w:sz w:val="1"/>
                <w:szCs w:val="1"/>
                <w:color w:val="auto"/>
              </w:rPr>
            </w:pPr>
          </w:p>
        </w:tc>
      </w:tr>
      <w:tr>
        <w:trPr>
          <w:trHeight w:val="198"/>
        </w:trPr>
        <w:tc>
          <w:tcPr>
            <w:tcW w:w="45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1500" w:type="dxa"/>
            <w:vAlign w:val="bottom"/>
          </w:tcPr>
          <w:p>
            <w:pPr>
              <w:jc w:val="right"/>
              <w:ind w:right="150"/>
              <w:spacing w:after="0" w:line="198" w:lineRule="exact"/>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ECECEC"/>
          </w:tcPr>
          <w:p>
            <w:pPr>
              <w:spacing w:after="0"/>
              <w:rPr>
                <w:sz w:val="17"/>
                <w:szCs w:val="17"/>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shd w:val="clear" w:color="auto" w:fill="ECECEC"/>
          </w:tcPr>
          <w:p>
            <w:pPr>
              <w:spacing w:after="0"/>
              <w:rPr>
                <w:sz w:val="17"/>
                <w:szCs w:val="17"/>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ECECEC"/>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65"/>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shd w:val="clear" w:color="auto" w:fill="ECECEC"/>
          </w:tcPr>
          <w:p>
            <w:pPr>
              <w:spacing w:after="0"/>
              <w:rPr>
                <w:sz w:val="23"/>
                <w:szCs w:val="23"/>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auto"/>
            </w:tcBorders>
            <w:shd w:val="clear" w:color="auto" w:fill="ECECEC"/>
          </w:tcPr>
          <w:p>
            <w:pPr>
              <w:spacing w:after="0"/>
              <w:rPr>
                <w:sz w:val="23"/>
                <w:szCs w:val="23"/>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500" w:type="dxa"/>
            <w:vAlign w:val="bottom"/>
          </w:tcPr>
          <w:p>
            <w:pPr>
              <w:spacing w:after="0"/>
              <w:rPr>
                <w:sz w:val="16"/>
                <w:szCs w:val="16"/>
                <w:color w:val="auto"/>
              </w:rPr>
            </w:pPr>
          </w:p>
        </w:tc>
        <w:tc>
          <w:tcPr>
            <w:tcW w:w="120" w:type="dxa"/>
            <w:vAlign w:val="bottom"/>
            <w:shd w:val="clear" w:color="auto" w:fill="ECECEC"/>
          </w:tcPr>
          <w:p>
            <w:pPr>
              <w:spacing w:after="0"/>
              <w:rPr>
                <w:sz w:val="16"/>
                <w:szCs w:val="16"/>
                <w:color w:val="auto"/>
              </w:rPr>
            </w:pPr>
          </w:p>
        </w:tc>
        <w:tc>
          <w:tcPr>
            <w:tcW w:w="114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210,378,000</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shd w:val="clear" w:color="auto" w:fill="ECECEC"/>
          </w:tcPr>
          <w:p>
            <w:pPr>
              <w:spacing w:after="0"/>
              <w:rPr>
                <w:sz w:val="16"/>
                <w:szCs w:val="16"/>
                <w:color w:val="auto"/>
              </w:rPr>
            </w:pPr>
          </w:p>
        </w:tc>
        <w:tc>
          <w:tcPr>
            <w:tcW w:w="112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203,839,000</w:t>
            </w: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tcPr>
          <w:p>
            <w:pPr>
              <w:spacing w:after="0"/>
              <w:rPr>
                <w:sz w:val="20"/>
                <w:szCs w:val="20"/>
                <w:color w:val="auto"/>
              </w:rPr>
            </w:pPr>
          </w:p>
        </w:tc>
        <w:tc>
          <w:tcPr>
            <w:tcW w:w="120" w:type="dxa"/>
            <w:vAlign w:val="bottom"/>
            <w:shd w:val="clear" w:color="auto" w:fill="ECECEC"/>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166,942,000</w:t>
            </w:r>
          </w:p>
        </w:tc>
        <w:tc>
          <w:tcPr>
            <w:tcW w:w="100" w:type="dxa"/>
            <w:vAlign w:val="bottom"/>
            <w:shd w:val="clear" w:color="auto" w:fill="ECECEC"/>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147,596,000</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ECECEC"/>
          </w:tcPr>
          <w:p>
            <w:pPr>
              <w:spacing w:after="0"/>
              <w:rPr>
                <w:sz w:val="21"/>
                <w:szCs w:val="21"/>
                <w:color w:val="auto"/>
              </w:rPr>
            </w:pPr>
          </w:p>
        </w:tc>
        <w:tc>
          <w:tcPr>
            <w:tcW w:w="114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210,378,000</w:t>
            </w: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176,807,000</w:t>
            </w:r>
          </w:p>
        </w:tc>
        <w:tc>
          <w:tcPr>
            <w:tcW w:w="100" w:type="dxa"/>
            <w:vAlign w:val="bottom"/>
            <w:tcBorders>
              <w:bottom w:val="single" w:sz="8" w:color="auto"/>
            </w:tcBorders>
            <w:shd w:val="clear" w:color="auto" w:fill="ECECEC"/>
          </w:tcPr>
          <w:p>
            <w:pPr>
              <w:spacing w:after="0"/>
              <w:rPr>
                <w:sz w:val="21"/>
                <w:szCs w:val="21"/>
                <w:color w:val="auto"/>
              </w:rPr>
            </w:pPr>
          </w:p>
        </w:tc>
        <w:tc>
          <w:tcPr>
            <w:tcW w:w="112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203,839,000</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159,411,000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-3685540</wp:posOffset>
            </wp:positionV>
            <wp:extent cx="720090" cy="3677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0090" cy="367728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-3685540</wp:posOffset>
            </wp:positionV>
            <wp:extent cx="702945" cy="3677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02945" cy="367728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Should be read in conjunction with the notes to the interim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0240"/>
        <w:spacing w:after="0"/>
        <w:tabs>
          <w:tab w:leader="none" w:pos="10660" w:val="left"/>
        </w:tabs>
        <w:rPr>
          <w:sz w:val="20"/>
          <w:szCs w:val="20"/>
          <w:color w:val="auto"/>
        </w:rPr>
      </w:pPr>
      <w:r>
        <w:rPr>
          <w:rFonts w:ascii="Times New Roman" w:cs="Times New Roman" w:eastAsia="Times New Roman" w:hAnsi="Times New Roman"/>
          <w:sz w:val="18"/>
          <w:szCs w:val="18"/>
          <w:color w:val="auto"/>
        </w:rPr>
        <w:t>3</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CHANGES IN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Contributed</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 capital</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0" w:type="dxa"/>
            <w:vAlign w:val="bottom"/>
          </w:tcPr>
          <w:p>
            <w:pPr>
              <w:spacing w:after="0"/>
              <w:rPr>
                <w:sz w:val="1"/>
                <w:szCs w:val="1"/>
                <w:color w:val="auto"/>
              </w:rPr>
            </w:pPr>
          </w:p>
        </w:tc>
      </w:tr>
      <w:tr>
        <w:trPr>
          <w:trHeight w:val="237"/>
        </w:trPr>
        <w:tc>
          <w:tcPr>
            <w:tcW w:w="340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2022</w:t>
            </w:r>
          </w:p>
        </w:tc>
        <w:tc>
          <w:tcPr>
            <w:tcW w:w="1000" w:type="dxa"/>
            <w:vAlign w:val="bottom"/>
            <w:tcBorders>
              <w:bottom w:val="single" w:sz="8" w:color="auto"/>
            </w:tcBorders>
            <w:shd w:val="clear" w:color="auto" w:fill="ECECEC"/>
          </w:tcPr>
          <w:p>
            <w:pPr>
              <w:spacing w:after="0"/>
              <w:rPr>
                <w:sz w:val="20"/>
                <w:szCs w:val="20"/>
                <w:color w:val="auto"/>
              </w:rPr>
            </w:pPr>
          </w:p>
        </w:tc>
        <w:tc>
          <w:tcPr>
            <w:tcW w:w="140" w:type="dxa"/>
            <w:vAlign w:val="bottom"/>
            <w:tcBorders>
              <w:bottom w:val="single" w:sz="8" w:color="auto"/>
            </w:tcBorders>
            <w:shd w:val="clear" w:color="auto" w:fill="ECECEC"/>
          </w:tcPr>
          <w:p>
            <w:pPr>
              <w:spacing w:after="0"/>
              <w:rPr>
                <w:sz w:val="20"/>
                <w:szCs w:val="20"/>
                <w:color w:val="auto"/>
              </w:rPr>
            </w:pPr>
          </w:p>
        </w:tc>
        <w:tc>
          <w:tcPr>
            <w:tcW w:w="1420" w:type="dxa"/>
            <w:vAlign w:val="bottom"/>
            <w:tcBorders>
              <w:bottom w:val="single" w:sz="8" w:color="auto"/>
            </w:tcBorders>
            <w:gridSpan w:val="2"/>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194,806,000</w:t>
            </w:r>
          </w:p>
        </w:tc>
        <w:tc>
          <w:tcPr>
            <w:tcW w:w="1540" w:type="dxa"/>
            <w:vAlign w:val="bottom"/>
            <w:tcBorders>
              <w:bottom w:val="single" w:sz="8" w:color="auto"/>
            </w:tcBorders>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378,893</w:t>
            </w:r>
          </w:p>
        </w:tc>
        <w:tc>
          <w:tcPr>
            <w:tcW w:w="1160" w:type="dxa"/>
            <w:vAlign w:val="bottom"/>
            <w:tcBorders>
              <w:bottom w:val="single" w:sz="8" w:color="auto"/>
            </w:tcBorders>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43,704</w:t>
            </w:r>
          </w:p>
        </w:tc>
        <w:tc>
          <w:tcPr>
            <w:tcW w:w="1380" w:type="dxa"/>
            <w:vAlign w:val="bottom"/>
            <w:tcBorders>
              <w:bottom w:val="single" w:sz="8" w:color="auto"/>
            </w:tcBorders>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(15)</w:t>
            </w:r>
          </w:p>
        </w:tc>
        <w:tc>
          <w:tcPr>
            <w:tcW w:w="440" w:type="dxa"/>
            <w:vAlign w:val="bottom"/>
            <w:tcBorders>
              <w:bottom w:val="single" w:sz="8" w:color="auto"/>
              <w:right w:val="single" w:sz="8" w:color="ECECEC"/>
            </w:tcBorders>
            <w:shd w:val="clear" w:color="auto" w:fill="ECECEC"/>
          </w:tcPr>
          <w:p>
            <w:pPr>
              <w:spacing w:after="0"/>
              <w:rPr>
                <w:sz w:val="20"/>
                <w:szCs w:val="20"/>
                <w:color w:val="auto"/>
              </w:rPr>
            </w:pPr>
          </w:p>
        </w:tc>
        <w:tc>
          <w:tcPr>
            <w:tcW w:w="76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422,582</w:t>
            </w:r>
          </w:p>
        </w:tc>
        <w:tc>
          <w:tcPr>
            <w:tcW w:w="0" w:type="dxa"/>
            <w:vAlign w:val="bottom"/>
          </w:tcPr>
          <w:p>
            <w:pPr>
              <w:spacing w:after="0"/>
              <w:rPr>
                <w:sz w:val="1"/>
                <w:szCs w:val="1"/>
                <w:color w:val="auto"/>
              </w:rPr>
            </w:pPr>
          </w:p>
        </w:tc>
      </w:tr>
      <w:tr>
        <w:trPr>
          <w:trHeight w:val="209"/>
        </w:trPr>
        <w:tc>
          <w:tcPr>
            <w:tcW w:w="340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ECECEC"/>
          </w:tcPr>
          <w:p>
            <w:pPr>
              <w:spacing w:after="0"/>
              <w:rPr>
                <w:sz w:val="18"/>
                <w:szCs w:val="18"/>
                <w:color w:val="auto"/>
              </w:rPr>
            </w:pPr>
          </w:p>
        </w:tc>
        <w:tc>
          <w:tcPr>
            <w:tcW w:w="140" w:type="dxa"/>
            <w:vAlign w:val="bottom"/>
            <w:shd w:val="clear" w:color="auto" w:fill="ECECEC"/>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300" w:type="dxa"/>
            <w:vAlign w:val="bottom"/>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(222,207)</w:t>
            </w:r>
          </w:p>
        </w:tc>
        <w:tc>
          <w:tcPr>
            <w:tcW w:w="440" w:type="dxa"/>
            <w:vAlign w:val="bottom"/>
            <w:tcBorders>
              <w:right w:val="single" w:sz="8" w:color="ECECEC"/>
            </w:tcBorders>
            <w:shd w:val="clear" w:color="auto" w:fill="ECECEC"/>
          </w:tcPr>
          <w:p>
            <w:pPr>
              <w:spacing w:after="0"/>
              <w:rPr>
                <w:sz w:val="18"/>
                <w:szCs w:val="18"/>
                <w:color w:val="auto"/>
              </w:rPr>
            </w:pPr>
          </w:p>
        </w:tc>
        <w:tc>
          <w:tcPr>
            <w:tcW w:w="7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(222,207)</w:t>
            </w:r>
          </w:p>
        </w:tc>
        <w:tc>
          <w:tcPr>
            <w:tcW w:w="0" w:type="dxa"/>
            <w:vAlign w:val="bottom"/>
          </w:tcPr>
          <w:p>
            <w:pPr>
              <w:spacing w:after="0"/>
              <w:rPr>
                <w:sz w:val="1"/>
                <w:szCs w:val="1"/>
                <w:color w:val="auto"/>
              </w:rPr>
            </w:pPr>
          </w:p>
        </w:tc>
      </w:tr>
      <w:tr>
        <w:trPr>
          <w:trHeight w:val="216"/>
        </w:trPr>
        <w:tc>
          <w:tcPr>
            <w:tcW w:w="340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140" w:type="dxa"/>
            <w:vAlign w:val="bottom"/>
            <w:gridSpan w:val="2"/>
            <w:shd w:val="clear" w:color="auto" w:fill="ECECEC"/>
          </w:tcPr>
          <w:p>
            <w:pPr>
              <w:ind w:left="820"/>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ECECEC"/>
          </w:tcPr>
          <w:p>
            <w:pPr>
              <w:spacing w:after="0"/>
              <w:rPr>
                <w:sz w:val="18"/>
                <w:szCs w:val="18"/>
                <w:color w:val="auto"/>
              </w:rPr>
            </w:pPr>
          </w:p>
        </w:tc>
        <w:tc>
          <w:tcPr>
            <w:tcW w:w="1300" w:type="dxa"/>
            <w:vAlign w:val="bottom"/>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17,993</w:t>
            </w:r>
          </w:p>
        </w:tc>
        <w:tc>
          <w:tcPr>
            <w:tcW w:w="1380" w:type="dxa"/>
            <w:vAlign w:val="bottom"/>
            <w:shd w:val="clear" w:color="auto" w:fill="ECECE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right w:val="single" w:sz="8" w:color="ECECEC"/>
            </w:tcBorders>
            <w:shd w:val="clear" w:color="auto" w:fill="ECECEC"/>
          </w:tcPr>
          <w:p>
            <w:pPr>
              <w:spacing w:after="0"/>
              <w:rPr>
                <w:sz w:val="18"/>
                <w:szCs w:val="18"/>
                <w:color w:val="auto"/>
              </w:rPr>
            </w:pPr>
          </w:p>
        </w:tc>
        <w:tc>
          <w:tcPr>
            <w:tcW w:w="760" w:type="dxa"/>
            <w:vAlign w:val="bottom"/>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17,993</w:t>
            </w:r>
          </w:p>
        </w:tc>
        <w:tc>
          <w:tcPr>
            <w:tcW w:w="0" w:type="dxa"/>
            <w:vAlign w:val="bottom"/>
          </w:tcPr>
          <w:p>
            <w:pPr>
              <w:spacing w:after="0"/>
              <w:rPr>
                <w:sz w:val="1"/>
                <w:szCs w:val="1"/>
                <w:color w:val="auto"/>
              </w:rPr>
            </w:pPr>
          </w:p>
        </w:tc>
      </w:tr>
      <w:tr>
        <w:trPr>
          <w:trHeight w:val="216"/>
        </w:trPr>
        <w:tc>
          <w:tcPr>
            <w:tcW w:w="340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1000" w:type="dxa"/>
            <w:vAlign w:val="bottom"/>
            <w:shd w:val="clear" w:color="auto" w:fill="ECECEC"/>
          </w:tcPr>
          <w:p>
            <w:pPr>
              <w:ind w:left="820"/>
              <w:spacing w:after="0"/>
              <w:rPr>
                <w:sz w:val="20"/>
                <w:szCs w:val="20"/>
                <w:color w:val="auto"/>
              </w:rPr>
            </w:pPr>
            <w:r>
              <w:rPr>
                <w:rFonts w:ascii="Times New Roman" w:cs="Times New Roman" w:eastAsia="Times New Roman" w:hAnsi="Times New Roman"/>
                <w:sz w:val="18"/>
                <w:szCs w:val="18"/>
                <w:b w:val="1"/>
                <w:bCs w:val="1"/>
                <w:color w:val="auto"/>
                <w:w w:val="88"/>
              </w:rPr>
              <w:t>15</w:t>
            </w:r>
          </w:p>
        </w:tc>
        <w:tc>
          <w:tcPr>
            <w:tcW w:w="140" w:type="dxa"/>
            <w:vAlign w:val="bottom"/>
            <w:shd w:val="clear" w:color="auto" w:fill="ECECEC"/>
          </w:tcPr>
          <w:p>
            <w:pPr>
              <w:spacing w:after="0"/>
              <w:rPr>
                <w:sz w:val="18"/>
                <w:szCs w:val="18"/>
                <w:color w:val="auto"/>
              </w:rPr>
            </w:pPr>
          </w:p>
        </w:tc>
        <w:tc>
          <w:tcPr>
            <w:tcW w:w="1420" w:type="dxa"/>
            <w:vAlign w:val="bottom"/>
            <w:gridSpan w:val="2"/>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20,835,000</w:t>
            </w:r>
          </w:p>
        </w:tc>
        <w:tc>
          <w:tcPr>
            <w:tcW w:w="1540" w:type="dxa"/>
            <w:vAlign w:val="bottom"/>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48,506</w:t>
            </w:r>
          </w:p>
        </w:tc>
        <w:tc>
          <w:tcPr>
            <w:tcW w:w="1160" w:type="dxa"/>
            <w:vAlign w:val="bottom"/>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35</w:t>
            </w:r>
          </w:p>
        </w:tc>
        <w:tc>
          <w:tcPr>
            <w:tcW w:w="1380" w:type="dxa"/>
            <w:vAlign w:val="bottom"/>
            <w:shd w:val="clear" w:color="auto" w:fill="ECECE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right w:val="single" w:sz="8" w:color="ECECEC"/>
            </w:tcBorders>
            <w:shd w:val="clear" w:color="auto" w:fill="ECECEC"/>
          </w:tcPr>
          <w:p>
            <w:pPr>
              <w:spacing w:after="0"/>
              <w:rPr>
                <w:sz w:val="18"/>
                <w:szCs w:val="18"/>
                <w:color w:val="auto"/>
              </w:rPr>
            </w:pPr>
          </w:p>
        </w:tc>
        <w:tc>
          <w:tcPr>
            <w:tcW w:w="760" w:type="dxa"/>
            <w:vAlign w:val="bottom"/>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48,541</w:t>
            </w:r>
          </w:p>
        </w:tc>
        <w:tc>
          <w:tcPr>
            <w:tcW w:w="0" w:type="dxa"/>
            <w:vAlign w:val="bottom"/>
          </w:tcPr>
          <w:p>
            <w:pPr>
              <w:spacing w:after="0"/>
              <w:rPr>
                <w:sz w:val="1"/>
                <w:szCs w:val="1"/>
                <w:color w:val="auto"/>
              </w:rPr>
            </w:pPr>
          </w:p>
        </w:tc>
      </w:tr>
      <w:tr>
        <w:trPr>
          <w:trHeight w:val="198"/>
        </w:trPr>
        <w:tc>
          <w:tcPr>
            <w:tcW w:w="3400" w:type="dxa"/>
            <w:vAlign w:val="bottom"/>
            <w:shd w:val="clear" w:color="auto" w:fill="ECECEC"/>
          </w:tcPr>
          <w:p>
            <w:pPr>
              <w:spacing w:after="0" w:line="198" w:lineRule="exact"/>
              <w:rPr>
                <w:sz w:val="20"/>
                <w:szCs w:val="20"/>
                <w:color w:val="auto"/>
              </w:rPr>
            </w:pPr>
            <w:r>
              <w:rPr>
                <w:rFonts w:ascii="Times New Roman" w:cs="Times New Roman" w:eastAsia="Times New Roman" w:hAnsi="Times New Roman"/>
                <w:sz w:val="18"/>
                <w:szCs w:val="18"/>
                <w:color w:val="auto"/>
              </w:rPr>
              <w:t>Deferred  tax  expense  related  to  equity</w:t>
            </w:r>
          </w:p>
        </w:tc>
        <w:tc>
          <w:tcPr>
            <w:tcW w:w="1000" w:type="dxa"/>
            <w:vAlign w:val="bottom"/>
            <w:vMerge w:val="restart"/>
            <w:shd w:val="clear" w:color="auto" w:fill="ECECEC"/>
          </w:tcPr>
          <w:p>
            <w:pPr>
              <w:ind w:left="820"/>
              <w:spacing w:after="0"/>
              <w:rPr>
                <w:sz w:val="20"/>
                <w:szCs w:val="20"/>
                <w:color w:val="auto"/>
              </w:rPr>
            </w:pPr>
            <w:r>
              <w:rPr>
                <w:rFonts w:ascii="Times New Roman" w:cs="Times New Roman" w:eastAsia="Times New Roman" w:hAnsi="Times New Roman"/>
                <w:sz w:val="18"/>
                <w:szCs w:val="18"/>
                <w:b w:val="1"/>
                <w:bCs w:val="1"/>
                <w:color w:val="auto"/>
                <w:w w:val="88"/>
              </w:rPr>
              <w:t>13</w:t>
            </w:r>
          </w:p>
        </w:tc>
        <w:tc>
          <w:tcPr>
            <w:tcW w:w="140" w:type="dxa"/>
            <w:vAlign w:val="bottom"/>
            <w:shd w:val="clear" w:color="auto" w:fill="ECECEC"/>
          </w:tcPr>
          <w:p>
            <w:pPr>
              <w:spacing w:after="0"/>
              <w:rPr>
                <w:sz w:val="17"/>
                <w:szCs w:val="17"/>
                <w:color w:val="auto"/>
              </w:rPr>
            </w:pPr>
          </w:p>
        </w:tc>
        <w:tc>
          <w:tcPr>
            <w:tcW w:w="120" w:type="dxa"/>
            <w:vAlign w:val="bottom"/>
            <w:shd w:val="clear" w:color="auto" w:fill="ECECEC"/>
          </w:tcPr>
          <w:p>
            <w:pPr>
              <w:spacing w:after="0"/>
              <w:rPr>
                <w:sz w:val="17"/>
                <w:szCs w:val="17"/>
                <w:color w:val="auto"/>
              </w:rPr>
            </w:pPr>
          </w:p>
        </w:tc>
        <w:tc>
          <w:tcPr>
            <w:tcW w:w="1300" w:type="dxa"/>
            <w:vAlign w:val="bottom"/>
            <w:vMerge w:val="restart"/>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vMerge w:val="restart"/>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(3,895)</w:t>
            </w:r>
          </w:p>
        </w:tc>
        <w:tc>
          <w:tcPr>
            <w:tcW w:w="1160" w:type="dxa"/>
            <w:vAlign w:val="bottom"/>
            <w:vMerge w:val="restart"/>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vMerge w:val="restart"/>
            <w:shd w:val="clear" w:color="auto" w:fill="ECECE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right w:val="single" w:sz="8" w:color="ECECEC"/>
            </w:tcBorders>
            <w:shd w:val="clear" w:color="auto" w:fill="ECECEC"/>
          </w:tcPr>
          <w:p>
            <w:pPr>
              <w:spacing w:after="0"/>
              <w:rPr>
                <w:sz w:val="17"/>
                <w:szCs w:val="17"/>
                <w:color w:val="auto"/>
              </w:rPr>
            </w:pPr>
          </w:p>
        </w:tc>
        <w:tc>
          <w:tcPr>
            <w:tcW w:w="7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(3,895)</w:t>
            </w:r>
          </w:p>
        </w:tc>
        <w:tc>
          <w:tcPr>
            <w:tcW w:w="0" w:type="dxa"/>
            <w:vAlign w:val="bottom"/>
          </w:tcPr>
          <w:p>
            <w:pPr>
              <w:spacing w:after="0"/>
              <w:rPr>
                <w:sz w:val="1"/>
                <w:szCs w:val="1"/>
                <w:color w:val="auto"/>
              </w:rPr>
            </w:pPr>
          </w:p>
        </w:tc>
      </w:tr>
      <w:tr>
        <w:trPr>
          <w:trHeight w:val="234"/>
        </w:trPr>
        <w:tc>
          <w:tcPr>
            <w:tcW w:w="340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000" w:type="dxa"/>
            <w:vAlign w:val="bottom"/>
            <w:vMerge w:val="continue"/>
            <w:shd w:val="clear" w:color="auto" w:fill="ECECEC"/>
          </w:tcPr>
          <w:p>
            <w:pPr>
              <w:spacing w:after="0"/>
              <w:rPr>
                <w:sz w:val="20"/>
                <w:szCs w:val="20"/>
                <w:color w:val="auto"/>
              </w:rPr>
            </w:pPr>
          </w:p>
        </w:tc>
        <w:tc>
          <w:tcPr>
            <w:tcW w:w="140" w:type="dxa"/>
            <w:vAlign w:val="bottom"/>
            <w:shd w:val="clear" w:color="auto" w:fill="ECECEC"/>
          </w:tcPr>
          <w:p>
            <w:pPr>
              <w:spacing w:after="0"/>
              <w:rPr>
                <w:sz w:val="20"/>
                <w:szCs w:val="20"/>
                <w:color w:val="auto"/>
              </w:rPr>
            </w:pPr>
          </w:p>
        </w:tc>
        <w:tc>
          <w:tcPr>
            <w:tcW w:w="120" w:type="dxa"/>
            <w:vAlign w:val="bottom"/>
            <w:shd w:val="clear" w:color="auto" w:fill="ECECEC"/>
          </w:tcPr>
          <w:p>
            <w:pPr>
              <w:spacing w:after="0"/>
              <w:rPr>
                <w:sz w:val="20"/>
                <w:szCs w:val="20"/>
                <w:color w:val="auto"/>
              </w:rPr>
            </w:pPr>
          </w:p>
        </w:tc>
        <w:tc>
          <w:tcPr>
            <w:tcW w:w="1300" w:type="dxa"/>
            <w:vAlign w:val="bottom"/>
            <w:vMerge w:val="continue"/>
            <w:shd w:val="clear" w:color="auto" w:fill="ECECEC"/>
          </w:tcPr>
          <w:p>
            <w:pPr>
              <w:spacing w:after="0"/>
              <w:rPr>
                <w:sz w:val="20"/>
                <w:szCs w:val="20"/>
                <w:color w:val="auto"/>
              </w:rPr>
            </w:pPr>
          </w:p>
        </w:tc>
        <w:tc>
          <w:tcPr>
            <w:tcW w:w="1540" w:type="dxa"/>
            <w:vAlign w:val="bottom"/>
            <w:vMerge w:val="continue"/>
            <w:shd w:val="clear" w:color="auto" w:fill="ECECEC"/>
          </w:tcPr>
          <w:p>
            <w:pPr>
              <w:spacing w:after="0"/>
              <w:rPr>
                <w:sz w:val="20"/>
                <w:szCs w:val="20"/>
                <w:color w:val="auto"/>
              </w:rPr>
            </w:pPr>
          </w:p>
        </w:tc>
        <w:tc>
          <w:tcPr>
            <w:tcW w:w="1160" w:type="dxa"/>
            <w:vAlign w:val="bottom"/>
            <w:vMerge w:val="continue"/>
            <w:shd w:val="clear" w:color="auto" w:fill="ECECEC"/>
          </w:tcPr>
          <w:p>
            <w:pPr>
              <w:spacing w:after="0"/>
              <w:rPr>
                <w:sz w:val="20"/>
                <w:szCs w:val="20"/>
                <w:color w:val="auto"/>
              </w:rPr>
            </w:pPr>
          </w:p>
        </w:tc>
        <w:tc>
          <w:tcPr>
            <w:tcW w:w="1380" w:type="dxa"/>
            <w:vAlign w:val="bottom"/>
            <w:vMerge w:val="continue"/>
            <w:shd w:val="clear" w:color="auto" w:fill="ECECEC"/>
          </w:tcPr>
          <w:p>
            <w:pPr>
              <w:spacing w:after="0"/>
              <w:rPr>
                <w:sz w:val="20"/>
                <w:szCs w:val="20"/>
                <w:color w:val="auto"/>
              </w:rPr>
            </w:pPr>
          </w:p>
        </w:tc>
        <w:tc>
          <w:tcPr>
            <w:tcW w:w="440" w:type="dxa"/>
            <w:vAlign w:val="bottom"/>
            <w:tcBorders>
              <w:right w:val="single" w:sz="8" w:color="ECECEC"/>
            </w:tcBorders>
            <w:shd w:val="clear" w:color="auto" w:fill="ECECEC"/>
          </w:tcPr>
          <w:p>
            <w:pPr>
              <w:spacing w:after="0"/>
              <w:rPr>
                <w:sz w:val="20"/>
                <w:szCs w:val="20"/>
                <w:color w:val="auto"/>
              </w:rPr>
            </w:pPr>
          </w:p>
        </w:tc>
        <w:tc>
          <w:tcPr>
            <w:tcW w:w="760" w:type="dxa"/>
            <w:vAlign w:val="bottom"/>
            <w:vMerge w:val="continue"/>
            <w:shd w:val="clear" w:color="auto" w:fill="ECECE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00" w:type="dxa"/>
            <w:vAlign w:val="bottom"/>
            <w:tcBorders>
              <w:bottom w:val="single" w:sz="8" w:color="auto"/>
            </w:tcBorders>
            <w:shd w:val="clear" w:color="auto" w:fill="ECECEC"/>
          </w:tcPr>
          <w:p>
            <w:pPr>
              <w:ind w:left="820"/>
              <w:spacing w:after="0"/>
              <w:rPr>
                <w:sz w:val="20"/>
                <w:szCs w:val="20"/>
                <w:color w:val="auto"/>
              </w:rPr>
            </w:pPr>
            <w:r>
              <w:rPr>
                <w:rFonts w:ascii="Times New Roman" w:cs="Times New Roman" w:eastAsia="Times New Roman" w:hAnsi="Times New Roman"/>
                <w:sz w:val="18"/>
                <w:szCs w:val="18"/>
                <w:b w:val="1"/>
                <w:bCs w:val="1"/>
                <w:color w:val="auto"/>
                <w:w w:val="88"/>
              </w:rPr>
              <w:t>17</w:t>
            </w:r>
          </w:p>
        </w:tc>
        <w:tc>
          <w:tcPr>
            <w:tcW w:w="140" w:type="dxa"/>
            <w:vAlign w:val="bottom"/>
            <w:tcBorders>
              <w:bottom w:val="single" w:sz="8" w:color="auto"/>
            </w:tcBorders>
            <w:shd w:val="clear" w:color="auto" w:fill="ECECEC"/>
          </w:tcPr>
          <w:p>
            <w:pPr>
              <w:spacing w:after="0"/>
              <w:rPr>
                <w:sz w:val="21"/>
                <w:szCs w:val="21"/>
                <w:color w:val="auto"/>
              </w:rPr>
            </w:pPr>
          </w:p>
        </w:tc>
        <w:tc>
          <w:tcPr>
            <w:tcW w:w="120" w:type="dxa"/>
            <w:vAlign w:val="bottom"/>
            <w:tcBorders>
              <w:bottom w:val="single" w:sz="8" w:color="auto"/>
            </w:tcBorders>
            <w:shd w:val="clear" w:color="auto" w:fill="ECECEC"/>
          </w:tcPr>
          <w:p>
            <w:pPr>
              <w:spacing w:after="0"/>
              <w:rPr>
                <w:sz w:val="21"/>
                <w:szCs w:val="21"/>
                <w:color w:val="auto"/>
              </w:rPr>
            </w:pPr>
          </w:p>
        </w:tc>
        <w:tc>
          <w:tcPr>
            <w:tcW w:w="1300" w:type="dxa"/>
            <w:vAlign w:val="bottom"/>
            <w:tcBorders>
              <w:bottom w:val="single" w:sz="8" w:color="auto"/>
            </w:tcBorders>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70,000</w:t>
            </w:r>
          </w:p>
        </w:tc>
        <w:tc>
          <w:tcPr>
            <w:tcW w:w="1540" w:type="dxa"/>
            <w:vAlign w:val="bottom"/>
            <w:tcBorders>
              <w:bottom w:val="single" w:sz="8" w:color="auto"/>
            </w:tcBorders>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w:t>
            </w:r>
          </w:p>
        </w:tc>
        <w:tc>
          <w:tcPr>
            <w:tcW w:w="116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1380" w:type="dxa"/>
            <w:vAlign w:val="bottom"/>
            <w:tcBorders>
              <w:bottom w:val="single" w:sz="8" w:color="auto"/>
            </w:tcBorders>
            <w:shd w:val="clear" w:color="auto" w:fill="ECECE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right w:val="single" w:sz="8" w:color="ECECEC"/>
            </w:tcBorders>
            <w:shd w:val="clear" w:color="auto" w:fill="ECECEC"/>
          </w:tcPr>
          <w:p>
            <w:pPr>
              <w:spacing w:after="0"/>
              <w:rPr>
                <w:sz w:val="21"/>
                <w:szCs w:val="21"/>
                <w:color w:val="auto"/>
              </w:rPr>
            </w:pPr>
          </w:p>
        </w:tc>
        <w:tc>
          <w:tcPr>
            <w:tcW w:w="76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44"/>
        </w:trPr>
        <w:tc>
          <w:tcPr>
            <w:tcW w:w="340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000" w:type="dxa"/>
            <w:vAlign w:val="bottom"/>
            <w:tcBorders>
              <w:bottom w:val="single" w:sz="8" w:color="auto"/>
            </w:tcBorders>
            <w:shd w:val="clear" w:color="auto" w:fill="ECECEC"/>
          </w:tcPr>
          <w:p>
            <w:pPr>
              <w:spacing w:after="0"/>
              <w:rPr>
                <w:sz w:val="21"/>
                <w:szCs w:val="21"/>
                <w:color w:val="auto"/>
              </w:rPr>
            </w:pPr>
          </w:p>
        </w:tc>
        <w:tc>
          <w:tcPr>
            <w:tcW w:w="140" w:type="dxa"/>
            <w:vAlign w:val="bottom"/>
            <w:tcBorders>
              <w:bottom w:val="single" w:sz="8" w:color="auto"/>
            </w:tcBorders>
            <w:shd w:val="clear" w:color="auto" w:fill="ECECEC"/>
          </w:tcPr>
          <w:p>
            <w:pPr>
              <w:spacing w:after="0"/>
              <w:rPr>
                <w:sz w:val="21"/>
                <w:szCs w:val="21"/>
                <w:color w:val="auto"/>
              </w:rPr>
            </w:pPr>
          </w:p>
        </w:tc>
        <w:tc>
          <w:tcPr>
            <w:tcW w:w="120" w:type="dxa"/>
            <w:vAlign w:val="bottom"/>
            <w:tcBorders>
              <w:bottom w:val="single" w:sz="8" w:color="auto"/>
            </w:tcBorders>
            <w:shd w:val="clear" w:color="auto" w:fill="ECECEC"/>
          </w:tcPr>
          <w:p>
            <w:pPr>
              <w:spacing w:after="0"/>
              <w:rPr>
                <w:sz w:val="21"/>
                <w:szCs w:val="21"/>
                <w:color w:val="auto"/>
              </w:rPr>
            </w:pPr>
          </w:p>
        </w:tc>
        <w:tc>
          <w:tcPr>
            <w:tcW w:w="1300" w:type="dxa"/>
            <w:vAlign w:val="bottom"/>
            <w:tcBorders>
              <w:bottom w:val="single" w:sz="8" w:color="auto"/>
            </w:tcBorders>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215,711,000</w:t>
            </w:r>
          </w:p>
        </w:tc>
        <w:tc>
          <w:tcPr>
            <w:tcW w:w="1540" w:type="dxa"/>
            <w:vAlign w:val="bottom"/>
            <w:tcBorders>
              <w:bottom w:val="single" w:sz="8" w:color="auto"/>
            </w:tcBorders>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423,546</w:t>
            </w:r>
          </w:p>
        </w:tc>
        <w:tc>
          <w:tcPr>
            <w:tcW w:w="1160" w:type="dxa"/>
            <w:vAlign w:val="bottom"/>
            <w:tcBorders>
              <w:bottom w:val="single" w:sz="8" w:color="auto"/>
            </w:tcBorders>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61,717</w:t>
            </w:r>
          </w:p>
        </w:tc>
        <w:tc>
          <w:tcPr>
            <w:tcW w:w="1380" w:type="dxa"/>
            <w:vAlign w:val="bottom"/>
            <w:tcBorders>
              <w:bottom w:val="single" w:sz="8" w:color="auto"/>
            </w:tcBorders>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(222,222)</w:t>
            </w:r>
          </w:p>
        </w:tc>
        <w:tc>
          <w:tcPr>
            <w:tcW w:w="440" w:type="dxa"/>
            <w:vAlign w:val="bottom"/>
            <w:tcBorders>
              <w:bottom w:val="single" w:sz="8" w:color="auto"/>
              <w:right w:val="single" w:sz="8" w:color="ECECEC"/>
            </w:tcBorders>
            <w:shd w:val="clear" w:color="auto" w:fill="ECECEC"/>
          </w:tcPr>
          <w:p>
            <w:pPr>
              <w:spacing w:after="0"/>
              <w:rPr>
                <w:sz w:val="21"/>
                <w:szCs w:val="21"/>
                <w:color w:val="auto"/>
              </w:rPr>
            </w:pPr>
          </w:p>
        </w:tc>
        <w:tc>
          <w:tcPr>
            <w:tcW w:w="76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263,041</w:t>
            </w: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2021</w:t>
            </w: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88,939,000</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32,004</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5,588</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(22,145)</w:t>
            </w:r>
          </w:p>
        </w:tc>
        <w:tc>
          <w:tcPr>
            <w:tcW w:w="4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15,447</w:t>
            </w:r>
          </w:p>
        </w:tc>
        <w:tc>
          <w:tcPr>
            <w:tcW w:w="0" w:type="dxa"/>
            <w:vAlign w:val="bottom"/>
          </w:tcPr>
          <w:p>
            <w:pPr>
              <w:spacing w:after="0"/>
              <w:rPr>
                <w:sz w:val="1"/>
                <w:szCs w:val="1"/>
                <w:color w:val="auto"/>
              </w:rPr>
            </w:pPr>
          </w:p>
        </w:tc>
      </w:tr>
      <w:tr>
        <w:trPr>
          <w:trHeight w:val="191"/>
        </w:trPr>
        <w:tc>
          <w:tcPr>
            <w:tcW w:w="3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12,453</w:t>
            </w:r>
          </w:p>
        </w:tc>
        <w:tc>
          <w:tcPr>
            <w:tcW w:w="440" w:type="dxa"/>
            <w:vAlign w:val="bottom"/>
          </w:tcPr>
          <w:p>
            <w:pPr>
              <w:spacing w:after="0"/>
              <w:rPr>
                <w:sz w:val="16"/>
                <w:szCs w:val="16"/>
                <w:color w:val="auto"/>
              </w:rPr>
            </w:pPr>
          </w:p>
        </w:tc>
        <w:tc>
          <w:tcPr>
            <w:tcW w:w="7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12,453</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12,549</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12,549</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46,519,000</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119,455</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26,781</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146,236</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long-term debt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8,475,000</w:t>
            </w:r>
          </w:p>
        </w:tc>
        <w:tc>
          <w:tcPr>
            <w:tcW w:w="1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5,110</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61"/>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 of warrants and stock options</w:t>
            </w:r>
          </w:p>
        </w:tc>
        <w:tc>
          <w:tcPr>
            <w:tcW w:w="10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30,513,000</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99,946</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(9,815)</w:t>
            </w:r>
          </w:p>
        </w:tc>
        <w:tc>
          <w:tcPr>
            <w:tcW w:w="1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90,131</w:t>
            </w:r>
          </w:p>
        </w:tc>
        <w:tc>
          <w:tcPr>
            <w:tcW w:w="0" w:type="dxa"/>
            <w:vAlign w:val="bottom"/>
          </w:tcPr>
          <w:p>
            <w:pPr>
              <w:spacing w:after="0"/>
              <w:rPr>
                <w:sz w:val="1"/>
                <w:szCs w:val="1"/>
                <w:color w:val="auto"/>
              </w:rPr>
            </w:pPr>
          </w:p>
        </w:tc>
      </w:tr>
      <w:tr>
        <w:trPr>
          <w:trHeight w:val="244"/>
        </w:trPr>
        <w:tc>
          <w:tcPr>
            <w:tcW w:w="3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0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174,446,000</w:t>
            </w:r>
          </w:p>
        </w:tc>
        <w:tc>
          <w:tcPr>
            <w:tcW w:w="1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256,515</w:t>
            </w: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34,993</w:t>
            </w: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(9,692)</w:t>
            </w: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281,816</w:t>
            </w:r>
          </w:p>
        </w:tc>
        <w:tc>
          <w:tcPr>
            <w:tcW w:w="0" w:type="dxa"/>
            <w:vAlign w:val="bottom"/>
          </w:tcPr>
          <w:p>
            <w:pPr>
              <w:spacing w:after="0"/>
              <w:rPr>
                <w:sz w:val="1"/>
                <w:szCs w:val="1"/>
                <w:color w:val="auto"/>
              </w:rPr>
            </w:pPr>
          </w:p>
        </w:tc>
      </w:tr>
      <w:tr>
        <w:trPr>
          <w:trHeight w:val="432"/>
        </w:trPr>
        <w:tc>
          <w:tcPr>
            <w:tcW w:w="75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Borders>
              <w:right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4"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6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80" w:type="dxa"/>
            <w:vAlign w:val="bottom"/>
            <w:tcBorders>
              <w:top w:val="single" w:sz="8" w:color="auto"/>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shd w:val="clear" w:color="auto" w:fill="ECECEC"/>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(used in) operating activities</w:t>
            </w:r>
          </w:p>
        </w:tc>
        <w:tc>
          <w:tcPr>
            <w:tcW w:w="880" w:type="dxa"/>
            <w:vAlign w:val="bottom"/>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(222,207)</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6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12,453</w:t>
            </w:r>
          </w:p>
        </w:tc>
        <w:tc>
          <w:tcPr>
            <w:tcW w:w="0" w:type="dxa"/>
            <w:vAlign w:val="bottom"/>
          </w:tcPr>
          <w:p>
            <w:pPr>
              <w:spacing w:after="0"/>
              <w:rPr>
                <w:sz w:val="1"/>
                <w:szCs w:val="1"/>
                <w:color w:val="auto"/>
              </w:rPr>
            </w:pPr>
          </w:p>
        </w:tc>
      </w:tr>
      <w:tr>
        <w:trPr>
          <w:trHeight w:val="198"/>
        </w:trPr>
        <w:tc>
          <w:tcPr>
            <w:tcW w:w="7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Adjustments for:</w:t>
            </w:r>
          </w:p>
        </w:tc>
        <w:tc>
          <w:tcPr>
            <w:tcW w:w="8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ECECEC"/>
          </w:tcPr>
          <w:p>
            <w:pPr>
              <w:spacing w:after="0"/>
              <w:rPr>
                <w:sz w:val="17"/>
                <w:szCs w:val="17"/>
                <w:color w:val="auto"/>
              </w:rPr>
            </w:pPr>
          </w:p>
        </w:tc>
        <w:tc>
          <w:tcPr>
            <w:tcW w:w="10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51,643</w:t>
            </w:r>
          </w:p>
        </w:tc>
        <w:tc>
          <w:tcPr>
            <w:tcW w:w="100" w:type="dxa"/>
            <w:vAlign w:val="bottom"/>
            <w:shd w:val="clear" w:color="auto" w:fill="ECECEC"/>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vMerge w:val="continue"/>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6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14,189</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on equipment and construction prepayments, property, plant and equipment and</w:t>
            </w:r>
          </w:p>
        </w:tc>
        <w:tc>
          <w:tcPr>
            <w:tcW w:w="8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ECECEC"/>
          </w:tcPr>
          <w:p>
            <w:pPr>
              <w:spacing w:after="0"/>
              <w:rPr>
                <w:sz w:val="18"/>
                <w:szCs w:val="18"/>
                <w:color w:val="auto"/>
              </w:rPr>
            </w:pPr>
          </w:p>
        </w:tc>
        <w:tc>
          <w:tcPr>
            <w:tcW w:w="10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84,116</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880" w:type="dxa"/>
            <w:vAlign w:val="bottom"/>
            <w:vMerge w:val="continue"/>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6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reversal on property, plant and equipment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17,900</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(24,191)</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23,936</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Digital assets mined</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(113,049)</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(106,001)</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digital assets mined</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104,988</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3,612</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122,243</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loss on revaluation of digital assets</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21,118</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17</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17,993</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12,549</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and financial expenses paid</w:t>
            </w:r>
          </w:p>
        </w:tc>
        <w:tc>
          <w:tcPr>
            <w:tcW w:w="880" w:type="dxa"/>
            <w:vAlign w:val="bottom"/>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(14,139)</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(recovery)</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13</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(17,603)</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5,902</w:t>
            </w:r>
          </w:p>
        </w:tc>
        <w:tc>
          <w:tcPr>
            <w:tcW w:w="0" w:type="dxa"/>
            <w:vAlign w:val="bottom"/>
          </w:tcPr>
          <w:p>
            <w:pPr>
              <w:spacing w:after="0"/>
              <w:rPr>
                <w:sz w:val="1"/>
                <w:szCs w:val="1"/>
                <w:color w:val="auto"/>
              </w:rPr>
            </w:pPr>
          </w:p>
        </w:tc>
      </w:tr>
      <w:tr>
        <w:trPr>
          <w:trHeight w:val="216"/>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property, plant and equipment</w:t>
            </w:r>
          </w:p>
        </w:tc>
        <w:tc>
          <w:tcPr>
            <w:tcW w:w="880" w:type="dxa"/>
            <w:vAlign w:val="bottom"/>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1,692</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38"/>
        </w:trPr>
        <w:tc>
          <w:tcPr>
            <w:tcW w:w="7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paid</w:t>
            </w:r>
          </w:p>
        </w:tc>
        <w:tc>
          <w:tcPr>
            <w:tcW w:w="880" w:type="dxa"/>
            <w:vAlign w:val="bottom"/>
          </w:tcPr>
          <w:p>
            <w:pPr>
              <w:spacing w:after="0"/>
              <w:rPr>
                <w:sz w:val="20"/>
                <w:szCs w:val="20"/>
                <w:color w:val="auto"/>
              </w:rPr>
            </w:pPr>
          </w:p>
        </w:tc>
        <w:tc>
          <w:tcPr>
            <w:tcW w:w="120" w:type="dxa"/>
            <w:vAlign w:val="bottom"/>
            <w:shd w:val="clear" w:color="auto" w:fill="ECECEC"/>
          </w:tcPr>
          <w:p>
            <w:pPr>
              <w:spacing w:after="0"/>
              <w:rPr>
                <w:sz w:val="20"/>
                <w:szCs w:val="20"/>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(14,931)</w:t>
            </w:r>
          </w:p>
        </w:tc>
        <w:tc>
          <w:tcPr>
            <w:tcW w:w="10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Changes in non-cash working capital components</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Borders>
              <w:bottom w:val="single" w:sz="8" w:color="auto"/>
            </w:tcBorders>
            <w:shd w:val="clear" w:color="auto" w:fill="ECECEC"/>
          </w:tcPr>
          <w:p>
            <w:pPr>
              <w:spacing w:after="0"/>
              <w:rPr>
                <w:sz w:val="21"/>
                <w:szCs w:val="21"/>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(12,404</w:t>
            </w:r>
          </w:p>
        </w:tc>
        <w:tc>
          <w:tcPr>
            <w:tcW w:w="100" w:type="dxa"/>
            <w:vAlign w:val="bottom"/>
            <w:tcBorders>
              <w:bottom w:val="single" w:sz="8" w:color="auto"/>
            </w:tcBorders>
            <w:vMerge w:val="continue"/>
            <w:shd w:val="clear" w:color="auto" w:fill="ECECEC"/>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operating activities</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CECEC"/>
          </w:tcPr>
          <w:p>
            <w:pPr>
              <w:spacing w:after="0"/>
              <w:rPr>
                <w:sz w:val="20"/>
                <w:szCs w:val="20"/>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3,169</w:t>
            </w:r>
          </w:p>
        </w:tc>
        <w:tc>
          <w:tcPr>
            <w:tcW w:w="100" w:type="dxa"/>
            <w:vAlign w:val="bottom"/>
            <w:tcBorders>
              <w:bottom w:val="single" w:sz="8" w:color="auto"/>
            </w:tcBorders>
            <w:shd w:val="clear" w:color="auto" w:fill="ECECEC"/>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(33,076)</w:t>
            </w:r>
          </w:p>
        </w:tc>
        <w:tc>
          <w:tcPr>
            <w:tcW w:w="0" w:type="dxa"/>
            <w:vAlign w:val="bottom"/>
          </w:tcPr>
          <w:p>
            <w:pPr>
              <w:spacing w:after="0"/>
              <w:rPr>
                <w:sz w:val="1"/>
                <w:szCs w:val="1"/>
                <w:color w:val="auto"/>
              </w:rPr>
            </w:pPr>
          </w:p>
        </w:tc>
      </w:tr>
      <w:tr>
        <w:trPr>
          <w:trHeight w:val="407"/>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880" w:type="dxa"/>
            <w:vAlign w:val="bottom"/>
          </w:tcPr>
          <w:p>
            <w:pPr>
              <w:spacing w:after="0"/>
              <w:rPr>
                <w:sz w:val="24"/>
                <w:szCs w:val="24"/>
                <w:color w:val="auto"/>
              </w:rPr>
            </w:pPr>
          </w:p>
        </w:tc>
        <w:tc>
          <w:tcPr>
            <w:tcW w:w="120" w:type="dxa"/>
            <w:vAlign w:val="bottom"/>
            <w:shd w:val="clear" w:color="auto" w:fill="ECECEC"/>
          </w:tcPr>
          <w:p>
            <w:pPr>
              <w:spacing w:after="0"/>
              <w:rPr>
                <w:sz w:val="24"/>
                <w:szCs w:val="24"/>
                <w:color w:val="auto"/>
              </w:rPr>
            </w:pPr>
          </w:p>
        </w:tc>
        <w:tc>
          <w:tcPr>
            <w:tcW w:w="10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(116,217)</w:t>
            </w:r>
          </w:p>
        </w:tc>
        <w:tc>
          <w:tcPr>
            <w:tcW w:w="100" w:type="dxa"/>
            <w:vAlign w:val="bottom"/>
            <w:shd w:val="clear" w:color="auto" w:fill="ECECEC"/>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880" w:type="dxa"/>
            <w:vAlign w:val="bottom"/>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6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880" w:type="dxa"/>
            <w:vAlign w:val="bottom"/>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4,790</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(127,916)</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disposition of marketable securities</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18</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172,248</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5,060</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digital assets</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(43,237)</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digital assets purchased</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120" w:type="dxa"/>
            <w:vAlign w:val="bottom"/>
            <w:shd w:val="clear" w:color="auto" w:fill="ECECEC"/>
          </w:tcPr>
          <w:p>
            <w:pPr>
              <w:spacing w:after="0"/>
              <w:rPr>
                <w:sz w:val="19"/>
                <w:szCs w:val="19"/>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20,682</w:t>
            </w:r>
          </w:p>
        </w:tc>
        <w:tc>
          <w:tcPr>
            <w:tcW w:w="10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and construction prepayments and other</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shd w:val="clear" w:color="auto" w:fill="ECECEC"/>
          </w:tcPr>
          <w:p>
            <w:pPr>
              <w:spacing w:after="0"/>
              <w:rPr>
                <w:sz w:val="22"/>
                <w:szCs w:val="22"/>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(54,891</w:t>
            </w:r>
          </w:p>
        </w:tc>
        <w:tc>
          <w:tcPr>
            <w:tcW w:w="100" w:type="dxa"/>
            <w:vAlign w:val="bottom"/>
            <w:tcBorders>
              <w:bottom w:val="single" w:sz="8" w:color="auto"/>
            </w:tcBorders>
            <w:vMerge w:val="continue"/>
            <w:shd w:val="clear" w:color="auto" w:fill="ECECEC"/>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(75,015)</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investing activities</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CECEC"/>
          </w:tcPr>
          <w:p>
            <w:pPr>
              <w:spacing w:after="0"/>
              <w:rPr>
                <w:sz w:val="20"/>
                <w:szCs w:val="20"/>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(144,541</w:t>
            </w:r>
          </w:p>
        </w:tc>
        <w:tc>
          <w:tcPr>
            <w:tcW w:w="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(129,207)</w:t>
            </w:r>
          </w:p>
        </w:tc>
        <w:tc>
          <w:tcPr>
            <w:tcW w:w="0" w:type="dxa"/>
            <w:vAlign w:val="bottom"/>
          </w:tcPr>
          <w:p>
            <w:pPr>
              <w:spacing w:after="0"/>
              <w:rPr>
                <w:sz w:val="1"/>
                <w:szCs w:val="1"/>
                <w:color w:val="auto"/>
              </w:rPr>
            </w:pPr>
          </w:p>
        </w:tc>
      </w:tr>
      <w:tr>
        <w:trPr>
          <w:trHeight w:val="191"/>
        </w:trPr>
        <w:tc>
          <w:tcPr>
            <w:tcW w:w="76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w:t>
            </w:r>
          </w:p>
        </w:tc>
        <w:tc>
          <w:tcPr>
            <w:tcW w:w="120" w:type="dxa"/>
            <w:vAlign w:val="bottom"/>
            <w:shd w:val="clear" w:color="auto" w:fill="ECECEC"/>
          </w:tcPr>
          <w:p>
            <w:pPr>
              <w:spacing w:after="0"/>
              <w:rPr>
                <w:sz w:val="16"/>
                <w:szCs w:val="16"/>
                <w:color w:val="auto"/>
              </w:rPr>
            </w:pPr>
          </w:p>
        </w:tc>
        <w:tc>
          <w:tcPr>
            <w:tcW w:w="10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48,506</w:t>
            </w:r>
          </w:p>
        </w:tc>
        <w:tc>
          <w:tcPr>
            <w:tcW w:w="100" w:type="dxa"/>
            <w:vAlign w:val="bottom"/>
            <w:shd w:val="clear" w:color="auto" w:fill="ECECEC"/>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shares and warrants</w:t>
            </w:r>
          </w:p>
        </w:tc>
        <w:tc>
          <w:tcPr>
            <w:tcW w:w="880" w:type="dxa"/>
            <w:vAlign w:val="bottom"/>
            <w:vMerge w:val="continue"/>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6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149,046</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and stock options</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15, 17</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60,352</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(76,863)</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12</w:t>
            </w: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(4,122)</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880" w:type="dxa"/>
            <w:vAlign w:val="bottom"/>
          </w:tcPr>
          <w:p>
            <w:pPr>
              <w:spacing w:after="0"/>
              <w:rPr>
                <w:sz w:val="18"/>
                <w:szCs w:val="18"/>
                <w:color w:val="auto"/>
              </w:rPr>
            </w:pPr>
          </w:p>
        </w:tc>
        <w:tc>
          <w:tcPr>
            <w:tcW w:w="120" w:type="dxa"/>
            <w:vAlign w:val="bottom"/>
            <w:shd w:val="clear" w:color="auto" w:fill="ECECEC"/>
          </w:tcPr>
          <w:p>
            <w:pPr>
              <w:spacing w:after="0"/>
              <w:rPr>
                <w:sz w:val="18"/>
                <w:szCs w:val="18"/>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(23,174)</w:t>
            </w:r>
          </w:p>
        </w:tc>
        <w:tc>
          <w:tcPr>
            <w:tcW w:w="10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(17,372)</w:t>
            </w: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shd w:val="clear" w:color="auto" w:fill="ECECEC"/>
          </w:tcPr>
          <w:p>
            <w:pPr>
              <w:spacing w:after="0"/>
              <w:rPr>
                <w:sz w:val="20"/>
                <w:szCs w:val="20"/>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67,168</w:t>
            </w:r>
          </w:p>
        </w:tc>
        <w:tc>
          <w:tcPr>
            <w:tcW w:w="100" w:type="dxa"/>
            <w:vAlign w:val="bottom"/>
            <w:shd w:val="clear" w:color="auto" w:fill="ECECEC"/>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10,940</w:t>
            </w:r>
          </w:p>
        </w:tc>
        <w:tc>
          <w:tcPr>
            <w:tcW w:w="0" w:type="dxa"/>
            <w:vAlign w:val="bottom"/>
          </w:tcPr>
          <w:p>
            <w:pPr>
              <w:spacing w:after="0"/>
              <w:rPr>
                <w:sz w:val="1"/>
                <w:szCs w:val="1"/>
                <w:color w:val="auto"/>
              </w:rPr>
            </w:pPr>
          </w:p>
        </w:tc>
      </w:tr>
      <w:tr>
        <w:trPr>
          <w:trHeight w:val="243"/>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Borders>
              <w:bottom w:val="single" w:sz="8" w:color="auto"/>
            </w:tcBorders>
            <w:shd w:val="clear" w:color="auto" w:fill="ECECEC"/>
          </w:tcPr>
          <w:p>
            <w:pPr>
              <w:spacing w:after="0"/>
              <w:rPr>
                <w:sz w:val="21"/>
                <w:szCs w:val="21"/>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40,000</w:t>
            </w:r>
          </w:p>
        </w:tc>
        <w:tc>
          <w:tcPr>
            <w:tcW w:w="100" w:type="dxa"/>
            <w:vAlign w:val="bottom"/>
            <w:tcBorders>
              <w:bottom w:val="single" w:sz="8" w:color="auto"/>
            </w:tcBorders>
            <w:shd w:val="clear" w:color="auto" w:fill="ECECEC"/>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related to financing activities</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CECEC"/>
          </w:tcPr>
          <w:p>
            <w:pPr>
              <w:spacing w:after="0"/>
              <w:rPr>
                <w:sz w:val="20"/>
                <w:szCs w:val="20"/>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51,542</w:t>
            </w:r>
          </w:p>
        </w:tc>
        <w:tc>
          <w:tcPr>
            <w:tcW w:w="100" w:type="dxa"/>
            <w:vAlign w:val="bottom"/>
            <w:tcBorders>
              <w:bottom w:val="single" w:sz="8" w:color="auto"/>
            </w:tcBorders>
            <w:shd w:val="clear" w:color="auto" w:fill="ECECEC"/>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199,624</w:t>
            </w:r>
          </w:p>
        </w:tc>
        <w:tc>
          <w:tcPr>
            <w:tcW w:w="0" w:type="dxa"/>
            <w:vAlign w:val="bottom"/>
          </w:tcPr>
          <w:p>
            <w:pPr>
              <w:spacing w:after="0"/>
              <w:rPr>
                <w:sz w:val="1"/>
                <w:szCs w:val="1"/>
                <w:color w:val="auto"/>
              </w:rPr>
            </w:pPr>
          </w:p>
        </w:tc>
      </w:tr>
      <w:tr>
        <w:trPr>
          <w:trHeight w:val="237"/>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CECEC"/>
          </w:tcPr>
          <w:p>
            <w:pPr>
              <w:spacing w:after="0"/>
              <w:rPr>
                <w:sz w:val="20"/>
                <w:szCs w:val="20"/>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(89,830</w:t>
            </w:r>
          </w:p>
        </w:tc>
        <w:tc>
          <w:tcPr>
            <w:tcW w:w="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37,341</w:t>
            </w:r>
          </w:p>
        </w:tc>
        <w:tc>
          <w:tcPr>
            <w:tcW w:w="0" w:type="dxa"/>
            <w:vAlign w:val="bottom"/>
          </w:tcPr>
          <w:p>
            <w:pPr>
              <w:spacing w:after="0"/>
              <w:rPr>
                <w:sz w:val="1"/>
                <w:szCs w:val="1"/>
                <w:color w:val="auto"/>
              </w:rPr>
            </w:pPr>
          </w:p>
        </w:tc>
      </w:tr>
      <w:tr>
        <w:trPr>
          <w:trHeight w:val="191"/>
        </w:trPr>
        <w:tc>
          <w:tcPr>
            <w:tcW w:w="7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Cash, beginning of the period</w:t>
            </w:r>
          </w:p>
        </w:tc>
        <w:tc>
          <w:tcPr>
            <w:tcW w:w="880" w:type="dxa"/>
            <w:vAlign w:val="bottom"/>
          </w:tcPr>
          <w:p>
            <w:pPr>
              <w:spacing w:after="0"/>
              <w:rPr>
                <w:sz w:val="16"/>
                <w:szCs w:val="16"/>
                <w:color w:val="auto"/>
              </w:rPr>
            </w:pPr>
          </w:p>
        </w:tc>
        <w:tc>
          <w:tcPr>
            <w:tcW w:w="120" w:type="dxa"/>
            <w:vAlign w:val="bottom"/>
            <w:shd w:val="clear" w:color="auto" w:fill="ECECEC"/>
          </w:tcPr>
          <w:p>
            <w:pPr>
              <w:spacing w:after="0"/>
              <w:rPr>
                <w:sz w:val="16"/>
                <w:szCs w:val="16"/>
                <w:color w:val="auto"/>
              </w:rPr>
            </w:pPr>
          </w:p>
        </w:tc>
        <w:tc>
          <w:tcPr>
            <w:tcW w:w="1060" w:type="dxa"/>
            <w:vAlign w:val="bottom"/>
            <w:shd w:val="clear" w:color="auto" w:fill="ECECEC"/>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125,595</w:t>
            </w:r>
          </w:p>
        </w:tc>
        <w:tc>
          <w:tcPr>
            <w:tcW w:w="100" w:type="dxa"/>
            <w:vAlign w:val="bottom"/>
            <w:shd w:val="clear" w:color="auto" w:fill="ECECEC"/>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5,947</w:t>
            </w:r>
          </w:p>
        </w:tc>
        <w:tc>
          <w:tcPr>
            <w:tcW w:w="0" w:type="dxa"/>
            <w:vAlign w:val="bottom"/>
          </w:tcPr>
          <w:p>
            <w:pPr>
              <w:spacing w:after="0"/>
              <w:rPr>
                <w:sz w:val="1"/>
                <w:szCs w:val="1"/>
                <w:color w:val="auto"/>
              </w:rPr>
            </w:pPr>
          </w:p>
        </w:tc>
      </w:tr>
      <w:tr>
        <w:trPr>
          <w:trHeight w:val="261"/>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shd w:val="clear" w:color="auto" w:fill="ECECEC"/>
          </w:tcPr>
          <w:p>
            <w:pPr>
              <w:spacing w:after="0"/>
              <w:rPr>
                <w:sz w:val="22"/>
                <w:szCs w:val="22"/>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bottom w:val="single" w:sz="8" w:color="auto"/>
            </w:tcBorders>
            <w:shd w:val="clear" w:color="auto" w:fill="ECECEC"/>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4"/>
        </w:trPr>
        <w:tc>
          <w:tcPr>
            <w:tcW w:w="7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8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ECECEC"/>
          </w:tcPr>
          <w:p>
            <w:pPr>
              <w:spacing w:after="0"/>
              <w:rPr>
                <w:sz w:val="21"/>
                <w:szCs w:val="21"/>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35,814</w:t>
            </w:r>
          </w:p>
        </w:tc>
        <w:tc>
          <w:tcPr>
            <w:tcW w:w="100" w:type="dxa"/>
            <w:vAlign w:val="bottom"/>
            <w:tcBorders>
              <w:bottom w:val="single" w:sz="8" w:color="auto"/>
            </w:tcBorders>
            <w:shd w:val="clear" w:color="auto" w:fill="ECECEC"/>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43,267</w:t>
            </w:r>
          </w:p>
        </w:tc>
        <w:tc>
          <w:tcPr>
            <w:tcW w:w="0" w:type="dxa"/>
            <w:vAlign w:val="bottom"/>
          </w:tcPr>
          <w:p>
            <w:pPr>
              <w:spacing w:after="0"/>
              <w:rPr>
                <w:sz w:val="1"/>
                <w:szCs w:val="1"/>
                <w:color w:val="auto"/>
              </w:rPr>
            </w:pPr>
          </w:p>
        </w:tc>
      </w:tr>
      <w:tr>
        <w:trPr>
          <w:trHeight w:val="432"/>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Should be read in conjunction with the notes to the interim condensed consolidated financial statements</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76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Borders>
              <w:right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NATURE OF OPERATIONS AND LIQUIDITY</w:t>
      </w:r>
    </w:p>
    <w:p>
      <w:pPr>
        <w:spacing w:after="0" w:line="229" w:lineRule="exact"/>
        <w:rPr>
          <w:sz w:val="20"/>
          <w:szCs w:val="20"/>
          <w:color w:val="auto"/>
        </w:rPr>
      </w:pPr>
    </w:p>
    <w:p>
      <w:pPr>
        <w:jc w:val="both"/>
        <w:ind w:hanging="4"/>
        <w:spacing w:after="0" w:line="255" w:lineRule="auto"/>
        <w:rPr>
          <w:sz w:val="20"/>
          <w:szCs w:val="20"/>
          <w:color w:val="auto"/>
        </w:rPr>
      </w:pPr>
      <w:r>
        <w:rPr>
          <w:rFonts w:ascii="Times New Roman" w:cs="Times New Roman" w:eastAsia="Times New Roman" w:hAnsi="Times New Roman"/>
          <w:sz w:val="18"/>
          <w:szCs w:val="18"/>
          <w:color w:val="auto"/>
        </w:rPr>
        <w:t>Bitfarms Ltd. was incorporated under the Canada Business Corporation Act on October 11, 2018 and continued under the Ontario Corporations Business Act on August 27, 2021. The interim condensed consolidated financial statements of the corporation comprise the accounts of Bitfarms Ltd. and its wholly owned subsidiaries (together referred to as the “Company” or “Bitfarms”). The activities of the Company mainly consist of cryptocurrency mining and are divided into multiple jurisdictions described in Note 19 “Geographical Information”. The Company’s operations are predominantly in Canada and the United States, with new operations having commenced in Paraguay and Argentina in 2022. 9159-9290 Quebec Inc. (“Volta”), a wholly owned subsidiary, assists the Company in building and maintaining its server farms and provides electrician services to both commercial and residential customers in Quebec. The common shares of the Company are listed under the trading symbol BITF on the Nasdaq and Toronto Stock Exchange exchanges.</w:t>
      </w:r>
    </w:p>
    <w:p>
      <w:pPr>
        <w:spacing w:after="0" w:line="189" w:lineRule="exact"/>
        <w:rPr>
          <w:sz w:val="20"/>
          <w:szCs w:val="20"/>
          <w:color w:val="auto"/>
        </w:rPr>
      </w:pPr>
    </w:p>
    <w:p>
      <w:pPr>
        <w:jc w:val="both"/>
        <w:ind w:hanging="4"/>
        <w:spacing w:after="0" w:line="256" w:lineRule="auto"/>
        <w:rPr>
          <w:sz w:val="20"/>
          <w:szCs w:val="20"/>
          <w:color w:val="auto"/>
        </w:rPr>
      </w:pPr>
      <w:r>
        <w:rPr>
          <w:rFonts w:ascii="Times New Roman" w:cs="Times New Roman" w:eastAsia="Times New Roman" w:hAnsi="Times New Roman"/>
          <w:sz w:val="18"/>
          <w:szCs w:val="18"/>
          <w:color w:val="auto"/>
        </w:rPr>
        <w:t>Bitfarms is primarily engaged in the cryptocurrency mining industry, a highly volatile market with significant inherent risk. Further declines in the market prices of cryptocurrencies, an increase in the difficulty of cryptocurrency mining, delays in the delivery of mining equipment, changes in the regulatory environment and adverse changes in other inherent risks can significantly and negatively impact the Company’s operations and cash flows and its ability to maintain sufficient liquidity to meet its commitments and minimum collateral requirements for its revolving credit facility, as described in Note 8 and Note 10, respectively. In addition, adverse changes to the factors mentioned above have impacted the recoverability of the Company’s digital assets and property, plant and equipment, resulting in impairment charges being recorded.</w:t>
      </w:r>
    </w:p>
    <w:p>
      <w:pPr>
        <w:spacing w:after="0" w:line="187"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The Company’s current operating budget and future estimated cash flows for the twelve-month period, based on Bitcoin (“BTC”) market factors, including price, difficulty, etc., as of the date of these interim condensed consolidated financial statements were authorized for issuance, indicate that it will generate positive cash flow from operations in excess of required interest and principal payments due on its long-term debt and credit facility. In August 2022, the Company negotiated postponement of delivery and payment, without penalty, of certain Blockchain Verification and Validation Equipment (“BVVE”) to 2023 so as to avoid under-deployment of miners and to better align the receipt of miners with the availability of completed infrastructure to utilize the miners.</w:t>
      </w:r>
    </w:p>
    <w:p>
      <w:pPr>
        <w:spacing w:after="0" w:line="187"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At current BTC prices, the Company’s existing cash resources and the proceeds from any sale of its treasury and mined BTC will not be sufficient to fund its capital investments to support its growth objectives. The Company would be required to raise additional funds from external sources to meet these requirements if the BTC price does not increase. There is no assurance that the Company will be able to raise such additional funds on acceptable terms, if at all.</w:t>
      </w:r>
    </w:p>
    <w:p>
      <w:pPr>
        <w:spacing w:after="0" w:line="180"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If the Company raises additional funds by issuing securities, existing shareholders may be diluted. If the Company were unable to obtain such financing, or if funds from operations and proceeds from any sale of the Company’s BTC holdings continue to be negatively impacted by the BTC price, the Company will have difficulty meeting its payment obligations, which could result in the loss of equipment prepayments and deposits paid by the Company under its purchase agreements and be subject to remedial legal measures taken against the Company. Such measures could include damages and forced continuance of the contractual arrangements. Under these circumstances, the Company’s growth plans and ongoing operations could be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240"/>
        <w:spacing w:after="0"/>
        <w:tabs>
          <w:tab w:leader="none" w:pos="1066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 xml:space="preserve">NATURE OF OPERATIONS AND LIQUIDITY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and definitions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these financial statements, the following terms shall have the following definitions: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1</w:t>
            </w:r>
          </w:p>
        </w:tc>
        <w:tc>
          <w:tcPr>
            <w:tcW w:w="2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Backbone</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Backbone Hosting Solutions Inc.</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2</w:t>
            </w:r>
          </w:p>
        </w:tc>
        <w:tc>
          <w:tcPr>
            <w:tcW w:w="2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Volta</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9159-9290 Quebec Inc.</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3</w:t>
            </w:r>
          </w:p>
        </w:tc>
        <w:tc>
          <w:tcPr>
            <w:tcW w:w="2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Backbone Argentina</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Backbone Hosting Solutions SAU</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4</w:t>
            </w:r>
          </w:p>
        </w:tc>
        <w:tc>
          <w:tcPr>
            <w:tcW w:w="2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Backbone Paraguay</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Backbone Hosting Solutions Paraguay SA</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5</w:t>
            </w:r>
          </w:p>
        </w:tc>
        <w:tc>
          <w:tcPr>
            <w:tcW w:w="2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Backbone Mining</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Backbone Mining Solutions LLC</w:t>
            </w:r>
          </w:p>
        </w:tc>
      </w:tr>
      <w:tr>
        <w:trPr>
          <w:trHeight w:val="216"/>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6</w:t>
            </w:r>
          </w:p>
        </w:tc>
        <w:tc>
          <w:tcPr>
            <w:tcW w:w="2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CAD</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Canadian Dollars</w:t>
            </w:r>
          </w:p>
        </w:tc>
      </w:tr>
      <w:tr>
        <w:trPr>
          <w:trHeight w:val="234"/>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7</w:t>
            </w:r>
          </w:p>
        </w:tc>
        <w:tc>
          <w:tcPr>
            <w:tcW w:w="2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ARS</w:t>
            </w:r>
          </w:p>
        </w:tc>
        <w:tc>
          <w:tcPr>
            <w:tcW w:w="39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Argentine Pesos</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BASIS OF PRESENTATION AND SIGNIFICANT ACCOUNTING POLICIES</w:t>
      </w:r>
    </w:p>
    <w:p>
      <w:pPr>
        <w:spacing w:after="0" w:line="22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preparation and measurement</w:t>
      </w:r>
    </w:p>
    <w:p>
      <w:pPr>
        <w:spacing w:after="0" w:line="229" w:lineRule="exact"/>
        <w:rPr>
          <w:sz w:val="20"/>
          <w:szCs w:val="20"/>
          <w:color w:val="auto"/>
        </w:rPr>
      </w:pPr>
    </w:p>
    <w:p>
      <w:pPr>
        <w:jc w:val="both"/>
        <w:ind w:left="20" w:right="20" w:hanging="4"/>
        <w:spacing w:after="0" w:line="266" w:lineRule="auto"/>
        <w:rPr>
          <w:sz w:val="20"/>
          <w:szCs w:val="20"/>
          <w:color w:val="auto"/>
        </w:rPr>
      </w:pPr>
      <w:r>
        <w:rPr>
          <w:rFonts w:ascii="Times New Roman" w:cs="Times New Roman" w:eastAsia="Times New Roman" w:hAnsi="Times New Roman"/>
          <w:sz w:val="18"/>
          <w:szCs w:val="18"/>
          <w:color w:val="auto"/>
        </w:rPr>
        <w:t xml:space="preserve">These interim condensed consolidated financial statements have been prepared in accordance with International Financial Reporting Standards (“IFRS”) as issued by the International Accounting Standards Board applicable to the preparation of interim financial statements, including International Accounting Standard (“IAS”) 34, </w:t>
      </w:r>
      <w:r>
        <w:rPr>
          <w:rFonts w:ascii="Times New Roman" w:cs="Times New Roman" w:eastAsia="Times New Roman" w:hAnsi="Times New Roman"/>
          <w:sz w:val="18"/>
          <w:szCs w:val="18"/>
          <w:i w:val="1"/>
          <w:iCs w:val="1"/>
          <w:color w:val="auto"/>
        </w:rPr>
        <w:t>Interim Financial Reporting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These interim condensed consolidated financial statements do not include all the information required for full annual financial statements and should be read in conjunction with the audited annual consolidated financial statements of the Company and the notes thereto for the year ended December 31, 2021. These interim condensed consolidated financial statements were approved by the Board of Directors on November 11, 2022.</w:t>
      </w:r>
    </w:p>
    <w:p>
      <w:pPr>
        <w:spacing w:after="0" w:line="176" w:lineRule="exact"/>
        <w:rPr>
          <w:sz w:val="20"/>
          <w:szCs w:val="20"/>
          <w:color w:val="auto"/>
        </w:rPr>
      </w:pPr>
    </w:p>
    <w:p>
      <w:pPr>
        <w:ind w:hanging="4"/>
        <w:spacing w:after="0" w:line="282"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following the same accounting policies used in the audited annual consolidated financial statements for the year ended December 31, 2021.</w:t>
      </w:r>
    </w:p>
    <w:p>
      <w:pPr>
        <w:spacing w:after="0" w:line="16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The accounting policies have been applied consistently by the Company’s entities and to all periods presented in these interim condensed consolidated financial statements, unless otherwise indicated.</w:t>
      </w:r>
    </w:p>
    <w:p>
      <w:pPr>
        <w:spacing w:after="0" w:line="16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on the historical cost basis, except for the revaluation of certain financial instruments and digital assets recorded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240"/>
        <w:spacing w:after="0"/>
        <w:tabs>
          <w:tab w:leader="none" w:pos="1066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SIGNIFICANT ACCOUNTING POLICIES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judgments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interim condensed consolidated financial statements requires management to undertake several judgments, estimates and assumptions about recognition and measurement of assets, liabilities, income and expenses. These estimates and judgments are based on management’s best knowledge of the events or circumstances and actions the Company may take in the future. The actual results may differ from these assumptions and estimates.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assumptions and estimates are recognized in the period in which the assumption or estimate is revised if the revision affects only that period, or in the period of the revision and future periods if the revision affects both current and future periods.</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significant judgements made by management in applying the Company’s accounting policies and the key sources of estimation uncertainty were the same as those described in the audited annual consolidated financial statements for the year ended December 31, 2021.</w:t>
      </w:r>
    </w:p>
    <w:p>
      <w:pPr>
        <w:spacing w:after="0" w:line="15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and adopted by the Company</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amendments to existing standards were adopted by the Company on January 1, 2022:</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IFRS 3, </w:t>
      </w:r>
      <w:r>
        <w:rPr>
          <w:rFonts w:ascii="Times New Roman" w:cs="Times New Roman" w:eastAsia="Times New Roman" w:hAnsi="Times New Roman"/>
          <w:sz w:val="18"/>
          <w:szCs w:val="18"/>
          <w:b w:val="1"/>
          <w:bCs w:val="1"/>
          <w:i w:val="1"/>
          <w:iCs w:val="1"/>
          <w:color w:val="auto"/>
        </w:rPr>
        <w:t>Business Combinations</w:t>
      </w:r>
      <w:r>
        <w:rPr>
          <w:rFonts w:ascii="Times New Roman" w:cs="Times New Roman" w:eastAsia="Times New Roman" w:hAnsi="Times New Roman"/>
          <w:sz w:val="18"/>
          <w:szCs w:val="18"/>
          <w:b w:val="1"/>
          <w:bCs w:val="1"/>
          <w:color w:val="auto"/>
        </w:rPr>
        <w:t xml:space="preserve"> (“IFRS 3”)</w:t>
      </w:r>
    </w:p>
    <w:p>
      <w:pPr>
        <w:spacing w:after="0" w:line="229"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 xml:space="preserve">Amendments to IFRS 3 are designed to: i) update its reference to the 2018 Conceptual Framework instead of the 1989 Framework; ii) add a requirement that, for obligations within the scope of IAS 37, </w:t>
      </w:r>
      <w:r>
        <w:rPr>
          <w:rFonts w:ascii="Times New Roman" w:cs="Times New Roman" w:eastAsia="Times New Roman" w:hAnsi="Times New Roman"/>
          <w:sz w:val="18"/>
          <w:szCs w:val="18"/>
          <w:i w:val="1"/>
          <w:iCs w:val="1"/>
          <w:color w:val="auto"/>
        </w:rPr>
        <w:t>Provisions, Contingent Liabilities and Contingent Assets</w:t>
      </w:r>
      <w:r>
        <w:rPr>
          <w:rFonts w:ascii="Times New Roman" w:cs="Times New Roman" w:eastAsia="Times New Roman" w:hAnsi="Times New Roman"/>
          <w:sz w:val="18"/>
          <w:szCs w:val="18"/>
          <w:color w:val="auto"/>
        </w:rPr>
        <w:t xml:space="preserve"> (“IAS 37”), an acquirer applies IAS 37 to determine whether at the acquisition date a present obligation exists as a result of past events. For a levy that would be within the scope of IFRIC Interpretation 21, </w:t>
      </w:r>
      <w:r>
        <w:rPr>
          <w:rFonts w:ascii="Times New Roman" w:cs="Times New Roman" w:eastAsia="Times New Roman" w:hAnsi="Times New Roman"/>
          <w:sz w:val="18"/>
          <w:szCs w:val="18"/>
          <w:i w:val="1"/>
          <w:iCs w:val="1"/>
          <w:color w:val="auto"/>
        </w:rPr>
        <w:t>Levies</w:t>
      </w:r>
      <w:r>
        <w:rPr>
          <w:rFonts w:ascii="Times New Roman" w:cs="Times New Roman" w:eastAsia="Times New Roman" w:hAnsi="Times New Roman"/>
          <w:sz w:val="18"/>
          <w:szCs w:val="18"/>
          <w:color w:val="auto"/>
        </w:rPr>
        <w:t xml:space="preserve"> (“IFRIC 21”), the acquirer applies IFRIC 21 to determine whether the obligating event that gives rise to a liability to pay the levy has occurred by the acquisition date; and iii) add an explicit statement that an acquirer does not recognize contingent assets acquired in a business combination.</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16, </w:t>
      </w:r>
      <w:r>
        <w:rPr>
          <w:rFonts w:ascii="Times New Roman" w:cs="Times New Roman" w:eastAsia="Times New Roman" w:hAnsi="Times New Roman"/>
          <w:sz w:val="18"/>
          <w:szCs w:val="18"/>
          <w:b w:val="1"/>
          <w:bCs w:val="1"/>
          <w:i w:val="1"/>
          <w:iCs w:val="1"/>
          <w:color w:val="auto"/>
        </w:rPr>
        <w:t>Property, Plant and Equipment</w:t>
      </w:r>
      <w:r>
        <w:rPr>
          <w:rFonts w:ascii="Times New Roman" w:cs="Times New Roman" w:eastAsia="Times New Roman" w:hAnsi="Times New Roman"/>
          <w:sz w:val="18"/>
          <w:szCs w:val="18"/>
          <w:b w:val="1"/>
          <w:bCs w:val="1"/>
          <w:color w:val="auto"/>
        </w:rPr>
        <w:t xml:space="preserve"> (“IAS 16”)</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Amendments to IAS 16 prohibit deducting from the cost of an item of property, plant and equipment any proceeds from selling items produced before that asset is available for use, i.e., proceeds while bringing the asset to the location and condition necessary for it to be capable of operating in the manner intended by management. Instead, an entity recognizes the proceeds from selling such items, and the cost of producing those items, in profit or loss.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1, </w:t>
      </w:r>
      <w:r>
        <w:rPr>
          <w:rFonts w:ascii="Times New Roman" w:cs="Times New Roman" w:eastAsia="Times New Roman" w:hAnsi="Times New Roman"/>
          <w:sz w:val="18"/>
          <w:szCs w:val="18"/>
          <w:b w:val="1"/>
          <w:bCs w:val="1"/>
          <w:i w:val="1"/>
          <w:iCs w:val="1"/>
          <w:color w:val="auto"/>
        </w:rPr>
        <w:t>First-time Adoption of International Financial Reporting Standards</w:t>
      </w:r>
      <w:r>
        <w:rPr>
          <w:rFonts w:ascii="Times New Roman" w:cs="Times New Roman" w:eastAsia="Times New Roman" w:hAnsi="Times New Roman"/>
          <w:sz w:val="18"/>
          <w:szCs w:val="18"/>
          <w:b w:val="1"/>
          <w:bCs w:val="1"/>
          <w:color w:val="auto"/>
        </w:rPr>
        <w:t xml:space="preserve"> (’‘IFRS 1”)</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Amendments to IFRS 1 extend the relief, which allows subsidiaries that become a first-time adopter later than its parent to measure its assets and liabilities at the carrying amounts that would be included in the parent’s consolidated financial statements, to the cumulative translation differences for all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240"/>
        <w:spacing w:after="0"/>
        <w:tabs>
          <w:tab w:leader="none" w:pos="10660" w:val="left"/>
        </w:tabs>
        <w:rPr>
          <w:sz w:val="20"/>
          <w:szCs w:val="20"/>
          <w:color w:val="auto"/>
        </w:rPr>
      </w:pPr>
      <w:r>
        <w:rPr>
          <w:rFonts w:ascii="Times New Roman" w:cs="Times New Roman" w:eastAsia="Times New Roman" w:hAnsi="Times New Roman"/>
          <w:sz w:val="18"/>
          <w:szCs w:val="18"/>
          <w:color w:val="auto"/>
        </w:rPr>
        <w:t>8</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SIGNIFICANT ACCOUNTING POLICIES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amendments issued and adopted by the Company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9, </w:t>
      </w:r>
      <w:r>
        <w:rPr>
          <w:rFonts w:ascii="Times New Roman" w:cs="Times New Roman" w:eastAsia="Times New Roman" w:hAnsi="Times New Roman"/>
          <w:sz w:val="18"/>
          <w:szCs w:val="18"/>
          <w:b w:val="1"/>
          <w:bCs w:val="1"/>
          <w:i w:val="1"/>
          <w:iCs w:val="1"/>
          <w:color w:val="auto"/>
        </w:rPr>
        <w:t>Financial Instruments</w:t>
      </w:r>
      <w:r>
        <w:rPr>
          <w:rFonts w:ascii="Times New Roman" w:cs="Times New Roman" w:eastAsia="Times New Roman" w:hAnsi="Times New Roman"/>
          <w:sz w:val="18"/>
          <w:szCs w:val="18"/>
          <w:b w:val="1"/>
          <w:bCs w:val="1"/>
          <w:color w:val="auto"/>
        </w:rPr>
        <w:t xml:space="preserve"> (“IFRS 9”)</w:t>
      </w:r>
    </w:p>
    <w:p>
      <w:pPr>
        <w:spacing w:after="0" w:line="31"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Amendments to IFRS 9 clarify which fees an entity includes when it applies the “10 per cent” test in assessing whether to derecognize a financial liability. An entity includes only fees paid or received between the entity (the borrower) and the lender, including fees paid or received by either the entity or the lender on the other’s behalf.</w:t>
      </w:r>
    </w:p>
    <w:p>
      <w:pPr>
        <w:spacing w:after="0" w:line="1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IFRS 16, </w:t>
      </w:r>
      <w:r>
        <w:rPr>
          <w:rFonts w:ascii="Times New Roman" w:cs="Times New Roman" w:eastAsia="Times New Roman" w:hAnsi="Times New Roman"/>
          <w:sz w:val="18"/>
          <w:szCs w:val="18"/>
          <w:b w:val="1"/>
          <w:bCs w:val="1"/>
          <w:i w:val="1"/>
          <w:iCs w:val="1"/>
          <w:color w:val="auto"/>
        </w:rPr>
        <w:t>Leases</w:t>
      </w:r>
      <w:r>
        <w:rPr>
          <w:rFonts w:ascii="Times New Roman" w:cs="Times New Roman" w:eastAsia="Times New Roman" w:hAnsi="Times New Roman"/>
          <w:sz w:val="18"/>
          <w:szCs w:val="18"/>
          <w:b w:val="1"/>
          <w:bCs w:val="1"/>
          <w:color w:val="auto"/>
        </w:rPr>
        <w:t xml:space="preserve"> (“IFRS 16”)</w:t>
      </w:r>
    </w:p>
    <w:p>
      <w:pPr>
        <w:spacing w:after="0" w:line="22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Amendments to IFRS 16 remove the illustration of the reimbursement of leasehold improvements included in the Illustrative Example 13 of IFRS 16 since it does not explain clearly enough the conclusion as to whether the reimbursement would meet the definition of a lease incentive in IFRS 16.</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adoption of the amendments listed above did not have a significant impact on the Company’s interim condensed consolidated financial statements.</w:t>
      </w:r>
    </w:p>
    <w:p>
      <w:pPr>
        <w:spacing w:after="0" w:line="22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amendments issued to be adopted at a later date</w:t>
      </w:r>
    </w:p>
    <w:p>
      <w:pPr>
        <w:spacing w:after="0" w:line="229"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The following amendments to existing standards have been issued and are applicable to the Company for its annual period beginning on January 1, 2023 and thereafter, with an earlier application permitted: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 </w:t>
      </w:r>
      <w:r>
        <w:rPr>
          <w:rFonts w:ascii="Times New Roman" w:cs="Times New Roman" w:eastAsia="Times New Roman" w:hAnsi="Times New Roman"/>
          <w:sz w:val="18"/>
          <w:szCs w:val="18"/>
          <w:b w:val="1"/>
          <w:bCs w:val="1"/>
          <w:i w:val="1"/>
          <w:iCs w:val="1"/>
          <w:color w:val="auto"/>
        </w:rPr>
        <w:t>Presentation of Financial Statements</w:t>
      </w:r>
      <w:r>
        <w:rPr>
          <w:rFonts w:ascii="Times New Roman" w:cs="Times New Roman" w:eastAsia="Times New Roman" w:hAnsi="Times New Roman"/>
          <w:sz w:val="18"/>
          <w:szCs w:val="18"/>
          <w:b w:val="1"/>
          <w:bCs w:val="1"/>
          <w:color w:val="auto"/>
        </w:rPr>
        <w:t xml:space="preserve"> (“IAS 1”)</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Amendments to IAS 1 clarify how to classify debt and other liabilities as current or non-current. The amendments help to determine whether, in the interim condensed consolidated statements of financial position, debt and other liabilities with an uncertain settlement date should be classified as current (due or potentially due to be settled within one year) or non-current. The amendments also include clarifying the classification requirements for debt an entity might settle by converting it into equity.</w:t>
      </w:r>
    </w:p>
    <w:p>
      <w:pPr>
        <w:spacing w:after="0" w:line="180" w:lineRule="exact"/>
        <w:rPr>
          <w:sz w:val="20"/>
          <w:szCs w:val="20"/>
          <w:color w:val="auto"/>
        </w:rPr>
      </w:pPr>
    </w:p>
    <w:p>
      <w:pPr>
        <w:jc w:val="both"/>
        <w:ind w:hanging="4"/>
        <w:spacing w:after="0" w:line="266" w:lineRule="auto"/>
        <w:rPr>
          <w:sz w:val="20"/>
          <w:szCs w:val="20"/>
          <w:color w:val="auto"/>
        </w:rPr>
      </w:pPr>
      <w:r>
        <w:rPr>
          <w:rFonts w:ascii="Times New Roman" w:cs="Times New Roman" w:eastAsia="Times New Roman" w:hAnsi="Times New Roman"/>
          <w:sz w:val="18"/>
          <w:szCs w:val="18"/>
          <w:color w:val="auto"/>
        </w:rPr>
        <w:t>Amendments to IAS 1 change the requirements in IAS 1 with regard to disclosure of accounting policies. Applying the amendments, an entity discloses its material accounting policies, instead of its significant accounting policies. Further amendments to IAS 1 are made to explain how an entity can identify a material accounting policy.</w:t>
      </w:r>
    </w:p>
    <w:p>
      <w:pPr>
        <w:spacing w:after="0" w:line="17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Amendments to IAS 1 specify that covenants to be complied with after the reporting date do not affect the classification of debt as current or non-current at the reporting date. Instead, the amendments require to disclose information about these covenants in the notes to the financial statements. This amendment is effective for the Company’s annual period beginning on January 1, 2024 and thereafter, with an earlier application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240"/>
        <w:spacing w:after="0"/>
        <w:tabs>
          <w:tab w:leader="none" w:pos="10660" w:val="left"/>
        </w:tabs>
        <w:rPr>
          <w:sz w:val="20"/>
          <w:szCs w:val="20"/>
          <w:color w:val="auto"/>
        </w:rPr>
      </w:pPr>
      <w:r>
        <w:rPr>
          <w:rFonts w:ascii="Times New Roman" w:cs="Times New Roman" w:eastAsia="Times New Roman" w:hAnsi="Times New Roman"/>
          <w:sz w:val="18"/>
          <w:szCs w:val="18"/>
          <w:color w:val="auto"/>
        </w:rPr>
        <w:t>9</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 xml:space="preserve">BASIS OF PRESENTATION AND SIGNIFICANT ACCOUNTING POLICIES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New accounting amendments issued to be adopted at a later date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8, </w:t>
      </w:r>
      <w:r>
        <w:rPr>
          <w:rFonts w:ascii="Times New Roman" w:cs="Times New Roman" w:eastAsia="Times New Roman" w:hAnsi="Times New Roman"/>
          <w:sz w:val="18"/>
          <w:szCs w:val="18"/>
          <w:b w:val="1"/>
          <w:bCs w:val="1"/>
          <w:i w:val="1"/>
          <w:iCs w:val="1"/>
          <w:color w:val="auto"/>
        </w:rPr>
        <w:t>Accounting Policies, Changes in Accounting Estimates and Errors</w:t>
      </w:r>
      <w:r>
        <w:rPr>
          <w:rFonts w:ascii="Times New Roman" w:cs="Times New Roman" w:eastAsia="Times New Roman" w:hAnsi="Times New Roman"/>
          <w:sz w:val="18"/>
          <w:szCs w:val="18"/>
          <w:b w:val="1"/>
          <w:bCs w:val="1"/>
          <w:color w:val="auto"/>
        </w:rPr>
        <w:t xml:space="preserve"> (“IAS 8”)</w:t>
      </w:r>
    </w:p>
    <w:p>
      <w:pPr>
        <w:spacing w:after="0" w:line="229" w:lineRule="exact"/>
        <w:rPr>
          <w:sz w:val="20"/>
          <w:szCs w:val="20"/>
          <w:color w:val="auto"/>
        </w:rPr>
      </w:pPr>
    </w:p>
    <w:p>
      <w:pPr>
        <w:jc w:val="both"/>
        <w:ind w:hanging="4"/>
        <w:spacing w:after="0" w:line="282" w:lineRule="auto"/>
        <w:rPr>
          <w:sz w:val="20"/>
          <w:szCs w:val="20"/>
          <w:color w:val="auto"/>
        </w:rPr>
      </w:pPr>
      <w:r>
        <w:rPr>
          <w:rFonts w:ascii="Times New Roman" w:cs="Times New Roman" w:eastAsia="Times New Roman" w:hAnsi="Times New Roman"/>
          <w:sz w:val="18"/>
          <w:szCs w:val="18"/>
          <w:color w:val="auto"/>
        </w:rPr>
        <w:t>Amendments to IAS 8 replace the definition of a change in accounting estimates. Under the new definition, accounting estimates are “monetary amounts in financial statements that are subject to measurement uncertainty”.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Amendments to IAS 12, </w:t>
      </w:r>
      <w:r>
        <w:rPr>
          <w:rFonts w:ascii="Times New Roman" w:cs="Times New Roman" w:eastAsia="Times New Roman" w:hAnsi="Times New Roman"/>
          <w:sz w:val="18"/>
          <w:szCs w:val="18"/>
          <w:b w:val="1"/>
          <w:bCs w:val="1"/>
          <w:i w:val="1"/>
          <w:iCs w:val="1"/>
          <w:color w:val="auto"/>
        </w:rPr>
        <w:t>Income Taxes</w:t>
      </w:r>
      <w:r>
        <w:rPr>
          <w:rFonts w:ascii="Times New Roman" w:cs="Times New Roman" w:eastAsia="Times New Roman" w:hAnsi="Times New Roman"/>
          <w:sz w:val="18"/>
          <w:szCs w:val="18"/>
          <w:b w:val="1"/>
          <w:bCs w:val="1"/>
          <w:color w:val="auto"/>
        </w:rPr>
        <w:t xml:space="preserve"> (“IAS 12”)</w:t>
      </w:r>
    </w:p>
    <w:p>
      <w:pPr>
        <w:spacing w:after="0" w:line="229" w:lineRule="exact"/>
        <w:rPr>
          <w:sz w:val="20"/>
          <w:szCs w:val="20"/>
          <w:color w:val="auto"/>
        </w:rPr>
      </w:pPr>
    </w:p>
    <w:p>
      <w:pPr>
        <w:jc w:val="both"/>
        <w:ind w:hanging="4"/>
        <w:spacing w:after="0" w:line="261" w:lineRule="auto"/>
        <w:rPr>
          <w:sz w:val="20"/>
          <w:szCs w:val="20"/>
          <w:color w:val="auto"/>
        </w:rPr>
      </w:pPr>
      <w:r>
        <w:rPr>
          <w:rFonts w:ascii="Times New Roman" w:cs="Times New Roman" w:eastAsia="Times New Roman" w:hAnsi="Times New Roman"/>
          <w:sz w:val="18"/>
          <w:szCs w:val="18"/>
          <w:color w:val="auto"/>
        </w:rPr>
        <w:t>Amendments to IAS 12 specify how entities should account for deferred income taxes on transactions such as leases and decommissioning obligations. In specified circumstances, entities are exempt from recognizing deferred income taxes when they recognize assets or liabilities for the first time. The amendments clarify that the exemption does not apply to transactions such as leases and decommissioning obligations and that entities are required to recognize deferred income taxes on such transactions.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the amendments on the Company’s financial statements.</w:t>
      </w:r>
    </w:p>
    <w:p>
      <w:pPr>
        <w:spacing w:after="0" w:line="221"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Comparative figures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figures in the comparative period of the interim condensed consolidated cash flow statements have been reclassified to conform to the current presentation. The lines Purchase of marketable securities and Proceeds from disposition of marketable securities were added to present separately these items in cash flows used in investing activities rather than grouping them in the line Interest and financial expenses paid included in cash flows used in operating activities. The net reclassification between the cash flow activities was $2,274.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10</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BUSINESS COMBINATION</w:t>
      </w:r>
    </w:p>
    <w:p>
      <w:pPr>
        <w:spacing w:after="0" w:line="229" w:lineRule="exact"/>
        <w:rPr>
          <w:sz w:val="20"/>
          <w:szCs w:val="20"/>
          <w:color w:val="auto"/>
        </w:rPr>
      </w:pPr>
    </w:p>
    <w:p>
      <w:pPr>
        <w:jc w:val="both"/>
        <w:ind w:left="20" w:hanging="9"/>
        <w:spacing w:after="0" w:line="256" w:lineRule="auto"/>
        <w:rPr>
          <w:sz w:val="20"/>
          <w:szCs w:val="20"/>
          <w:color w:val="auto"/>
        </w:rPr>
      </w:pPr>
      <w:r>
        <w:rPr>
          <w:rFonts w:ascii="Times New Roman" w:cs="Times New Roman" w:eastAsia="Times New Roman" w:hAnsi="Times New Roman"/>
          <w:sz w:val="18"/>
          <w:szCs w:val="18"/>
          <w:color w:val="auto"/>
        </w:rPr>
        <w:t>On November 9, 2021, the Company acquired a cryptocurrency mining facility in Washington state through its wholly-owned subsidiary, Backbone Mining Solutions LLC, comprising land, buildings, 17 megawatts of electrical infrastructure, power purchase agreements totaling 12 megawatts and in process power purchase agreement applications totaling 12 megawatts with a local hydro-electric utility producer. The consideration transferred was $26,676, including $23,000 of cash consideration and 415,000 Common shares with a value of $3,676 on the closing date. The seller entered into a consulting agreement with the Company in the amount of $2,000 for services relating to the operation of the facility. The Company also entered into a one-year lease agreement with the seller for a 5 megawatt cryptocurrency mining facility with monthly payments of $110.</w:t>
      </w:r>
    </w:p>
    <w:p>
      <w:pPr>
        <w:spacing w:after="0" w:line="187" w:lineRule="exact"/>
        <w:rPr>
          <w:sz w:val="20"/>
          <w:szCs w:val="20"/>
          <w:color w:val="auto"/>
        </w:rPr>
      </w:pPr>
    </w:p>
    <w:p>
      <w:pPr>
        <w:jc w:val="both"/>
        <w:ind w:left="20" w:hanging="9"/>
        <w:spacing w:after="0" w:line="282" w:lineRule="auto"/>
        <w:rPr>
          <w:sz w:val="20"/>
          <w:szCs w:val="20"/>
          <w:color w:val="auto"/>
        </w:rPr>
      </w:pPr>
      <w:r>
        <w:rPr>
          <w:rFonts w:ascii="Times New Roman" w:cs="Times New Roman" w:eastAsia="Times New Roman" w:hAnsi="Times New Roman"/>
          <w:sz w:val="18"/>
          <w:szCs w:val="18"/>
          <w:color w:val="auto"/>
        </w:rPr>
        <w:t>The primary reason for the acquisition was to expand the Company’s energy portfolio with existing infrastructure to accommodate the Company’s expected delivery schedule of mining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fair values of the identifiable assets as of the date of the acquisition: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November 9,</w:t>
            </w:r>
          </w:p>
        </w:tc>
      </w:tr>
      <w:tr>
        <w:trPr>
          <w:trHeight w:val="236"/>
        </w:trPr>
        <w:tc>
          <w:tcPr>
            <w:tcW w:w="708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191"/>
        </w:trPr>
        <w:tc>
          <w:tcPr>
            <w:tcW w:w="70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Consideration transferred</w:t>
            </w:r>
          </w:p>
        </w:tc>
        <w:tc>
          <w:tcPr>
            <w:tcW w:w="4160" w:type="dxa"/>
            <w:vAlign w:val="bottom"/>
          </w:tcPr>
          <w:p>
            <w:pPr>
              <w:spacing w:after="0"/>
              <w:rPr>
                <w:sz w:val="16"/>
                <w:szCs w:val="16"/>
                <w:color w:val="auto"/>
              </w:rPr>
            </w:pP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4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23,000</w:t>
            </w:r>
          </w:p>
        </w:tc>
      </w:tr>
      <w:tr>
        <w:trPr>
          <w:trHeight w:val="243"/>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Value of 415,000 common shares transferred at closing</w:t>
            </w: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3,676</w:t>
            </w:r>
          </w:p>
        </w:tc>
      </w:tr>
      <w:tr>
        <w:trPr>
          <w:trHeight w:val="243"/>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26,676</w:t>
            </w:r>
          </w:p>
        </w:tc>
      </w:tr>
      <w:tr>
        <w:trPr>
          <w:trHeight w:val="198"/>
        </w:trPr>
        <w:tc>
          <w:tcPr>
            <w:tcW w:w="70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Recognized amounts of identifiable assets acquired</w:t>
            </w:r>
          </w:p>
        </w:tc>
        <w:tc>
          <w:tcPr>
            <w:tcW w:w="4160" w:type="dxa"/>
            <w:vAlign w:val="bottom"/>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components</w:t>
            </w:r>
          </w:p>
        </w:tc>
        <w:tc>
          <w:tcPr>
            <w:tcW w:w="4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5,954</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4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w:t>
            </w:r>
          </w:p>
        </w:tc>
      </w:t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4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Intangible assets - favorable lease</w:t>
            </w: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r>
      <w:tr>
        <w:trPr>
          <w:trHeight w:val="237"/>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8,776</w:t>
            </w:r>
          </w:p>
        </w:tc>
      </w:tr>
      <w:tr>
        <w:trPr>
          <w:trHeight w:val="243"/>
        </w:trPr>
        <w:tc>
          <w:tcPr>
            <w:tcW w:w="7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r>
    </w:tbl>
    <w:p>
      <w:pPr>
        <w:spacing w:after="0" w:line="198"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Goodwill consists mainly of the benefit the Company expects to receive from acquiring a turnkey facility with active power purchase agreements compared to the timeline and process the Company would undertake to procure new power purchase agreements, the materials and equipment required to build a facility and complete the construction process in order to increase the Company’s share of the BTC network hashrate. The entire amount of goodwill is expected to be deductible for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In May 2022, the valuation was finalized, resulting in measurement period adjustments. The acquisition date fair value of the electrical components was $5,954, a decrease of $1,127 compared to the provisional value. In addition, the fair value at the acquisition date of buildings decreased by $7, land decreased by $11 and intangible assets (favourable lease) increased by $200. The cumulative impact of these measurement period adjustments was recognized in the interim condensed consolidated financial statements as at and for the three months ended March 31, 2022. The impact on the prior period was considered insignificant. As a result, there was a corresponding increase in goodwill of $945, resulting in $17,900 of total goodwill arising from the acquisition.</w:t>
      </w:r>
    </w:p>
    <w:p>
      <w:pPr>
        <w:spacing w:after="0" w:line="187" w:lineRule="exact"/>
        <w:rPr>
          <w:sz w:val="20"/>
          <w:szCs w:val="20"/>
          <w:color w:val="auto"/>
        </w:rPr>
      </w:pPr>
    </w:p>
    <w:p>
      <w:pPr>
        <w:jc w:val="both"/>
        <w:ind w:left="20" w:hanging="9"/>
        <w:spacing w:after="0" w:line="282" w:lineRule="auto"/>
        <w:rPr>
          <w:sz w:val="20"/>
          <w:szCs w:val="20"/>
          <w:color w:val="auto"/>
        </w:rPr>
      </w:pPr>
      <w:r>
        <w:rPr>
          <w:rFonts w:ascii="Times New Roman" w:cs="Times New Roman" w:eastAsia="Times New Roman" w:hAnsi="Times New Roman"/>
          <w:sz w:val="18"/>
          <w:szCs w:val="18"/>
          <w:color w:val="auto"/>
        </w:rPr>
        <w:t>The Company generated $7,690 of revenues mainly from using the S19j pros installed at the Washington state facility, from November 9, 2021 to December 31, 2021. Prior to the acquisition, the Company incurred hosting fees of $3,907 during the year ended December 31, 2021.</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Impairment of goodwill during the six months ended June 30, 2022</w:t>
      </w:r>
    </w:p>
    <w:p>
      <w:pPr>
        <w:spacing w:after="0" w:line="229"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As a result of the decline in the BTC price during the six months ended June 30, 2022, the Company performed an evaluation of the recoverable amount of the property, plant and equipment and intangible assets for the Washington state cryptocurrency mining facility as at June 30, 2022. As these groups of assets do not generate cash inflows that are independent of each other, the recoverable amount was calculated for the cash-generating unit (“CGU”) comprised of the assets of BVVE and electrical equipment, long-term electricity deposits, land, building and favourable lease used in the cryptocurrency mining facility in Washington state.</w:t>
      </w:r>
    </w:p>
    <w:p>
      <w:pPr>
        <w:spacing w:after="0" w:line="183"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Based on its calculation, the Company recorded an impairment loss on its Washington state cryptocurrency mining CGU resulting in an impairment charge to goodwill of $17,900 during the three and six months ended June 30, 2022. The impairment loss was recognized in profit or loss under Impairment on goodwill. The value in use of the CGU was determined based on the present value of the expected cash flows over a four-year period discounted at an annual pre-tax rate of 24.75% in varying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key assumptions used in the value in use calculation for the six months ended June 30, 2022 are as follows:</w:t>
      </w:r>
    </w:p>
    <w:p>
      <w:pPr>
        <w:spacing w:after="0" w:line="22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u w:val="single" w:color="auto"/>
          <w:color w:val="auto"/>
        </w:rPr>
        <w:t>Revenues</w:t>
      </w:r>
      <w:r>
        <w:rPr>
          <w:rFonts w:ascii="Times New Roman" w:cs="Times New Roman" w:eastAsia="Times New Roman" w:hAnsi="Times New Roman"/>
          <w:sz w:val="18"/>
          <w:szCs w:val="18"/>
          <w:color w:val="auto"/>
        </w:rPr>
        <w:t xml:space="preserve"> – Two optimistic and two pessimistic scenarios and one status quo scenario, each with an estimated future BTC price and network difficulty, were used to project revenues and associated cash flows from cryptocurrency mining. Management assigned probabilities to each scenario to calculate weighted average expected outcomes. The weighted average daily revenue per Terahash used in the value in use calculation was $0.12/Terahash.</w:t>
      </w:r>
    </w:p>
    <w:p>
      <w:pPr>
        <w:spacing w:after="0" w:line="176"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xml:space="preserve"> – The discount rate reflects management’s assumptions regarding the unit’s specific risk. The pre-tax discount rate used was estimated at 24.75%, with some of the risk already being implicitly reflected through management’s allocation of probabilities to the various scenarios included in the revenue calculation.</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Energy prices</w:t>
      </w:r>
      <w:r>
        <w:rPr>
          <w:rFonts w:ascii="Times New Roman" w:cs="Times New Roman" w:eastAsia="Times New Roman" w:hAnsi="Times New Roman"/>
          <w:sz w:val="18"/>
          <w:szCs w:val="18"/>
          <w:color w:val="auto"/>
        </w:rPr>
        <w:t xml:space="preserve"> – Management estimates that energy prices for the duration of the forecasted years will be approximately $0.027 per kilowatt hour.</w:t>
      </w:r>
    </w:p>
    <w:p>
      <w:pPr>
        <w:spacing w:after="0" w:line="225"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u w:val="single" w:color="auto"/>
          <w:color w:val="auto"/>
        </w:rPr>
        <w:t>Terminal value</w:t>
      </w:r>
      <w:r>
        <w:rPr>
          <w:rFonts w:ascii="Times New Roman" w:cs="Times New Roman" w:eastAsia="Times New Roman" w:hAnsi="Times New Roman"/>
          <w:sz w:val="18"/>
          <w:szCs w:val="18"/>
          <w:color w:val="auto"/>
        </w:rPr>
        <w:t xml:space="preserve"> – Management estimated the terminal value of the miners included in the CGU for the purposes of the impairment testing to be the daily revenue per Terahash in effect at the end of the value in use calculation multiplied by the ending hashrate for a period of approximately 6 months.</w:t>
      </w:r>
    </w:p>
    <w:p>
      <w:pPr>
        <w:spacing w:after="0" w:line="162"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Changes in BTC price and BTC network difficulty that can lead to changes in expected revenues were considered in the various scenarios listed above. A decrease of 1% in revenues and an increase of one percentage point in the discount rate would result in impairment on the other assets of the CGU by $394 and $1,040, respectively. A sensitivity analysis was not performed for a change in energy prices as they are considered to be stable. Refer to Note 6 for the impairment testing of the other assets of the Washington CGU.</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OTHER ASSETS</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8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6"/>
        </w:trPr>
        <w:tc>
          <w:tcPr>
            <w:tcW w:w="8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Electrical component inventory</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586</w:t>
            </w:r>
          </w:p>
        </w:tc>
        <w:tc>
          <w:tcPr>
            <w:tcW w:w="1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548</w:t>
            </w: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Sales taxes receivable*</w:t>
            </w:r>
          </w:p>
        </w:tc>
        <w:tc>
          <w:tcPr>
            <w:tcW w:w="112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1,897</w:t>
            </w:r>
          </w:p>
        </w:tc>
        <w:tc>
          <w:tcPr>
            <w:tcW w:w="160" w:type="dxa"/>
            <w:vAlign w:val="bottom"/>
          </w:tcPr>
          <w:p>
            <w:pPr>
              <w:spacing w:after="0"/>
              <w:rPr>
                <w:sz w:val="16"/>
                <w:szCs w:val="16"/>
                <w:color w:val="auto"/>
              </w:rPr>
            </w:pPr>
          </w:p>
        </w:tc>
        <w:tc>
          <w:tcPr>
            <w:tcW w:w="128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1,980</w:t>
            </w: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8,645</w:t>
            </w:r>
          </w:p>
        </w:tc>
        <w:tc>
          <w:tcPr>
            <w:tcW w:w="1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3,202</w:t>
            </w:r>
          </w:p>
        </w:tc>
      </w:tr>
      <w:tr>
        <w:trPr>
          <w:trHeight w:val="243"/>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Insurance refund and other receivables</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697</w:t>
            </w:r>
          </w:p>
        </w:tc>
      </w:tr>
      <w:tr>
        <w:trPr>
          <w:trHeight w:val="243"/>
        </w:trPr>
        <w:tc>
          <w:tcPr>
            <w:tcW w:w="8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11,350</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6,427</w:t>
            </w:r>
          </w:p>
        </w:tc>
      </w:tr>
    </w:tbl>
    <w:p>
      <w:pPr>
        <w:spacing w:after="0" w:line="198" w:lineRule="exact"/>
        <w:rPr>
          <w:sz w:val="20"/>
          <w:szCs w:val="20"/>
          <w:color w:val="auto"/>
        </w:rPr>
      </w:pPr>
    </w:p>
    <w:p>
      <w:pPr>
        <w:ind w:left="10200" w:right="200" w:hanging="10192"/>
        <w:spacing w:after="0" w:line="845"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18 for more details about the provision applied to the Argentine value-added tax (VAT) receivable included in sales taxes receivable. 13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DIGITAL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BTC transactions and the corresponding values for the three and nine months ended September 30, 2022, and 2021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shd w:val="clear" w:color="auto" w:fill="ECECEC"/>
          </w:tcPr>
          <w:p>
            <w:pPr>
              <w:spacing w:after="0"/>
              <w:rPr>
                <w:sz w:val="20"/>
                <w:szCs w:val="20"/>
                <w:color w:val="auto"/>
              </w:rPr>
            </w:pPr>
          </w:p>
        </w:tc>
        <w:tc>
          <w:tcPr>
            <w:tcW w:w="80" w:type="dxa"/>
            <w:vAlign w:val="bottom"/>
            <w:tcBorders>
              <w:bottom w:val="single" w:sz="8" w:color="auto"/>
            </w:tcBorders>
            <w:shd w:val="clear" w:color="auto" w:fill="ECECEC"/>
          </w:tcPr>
          <w:p>
            <w:pPr>
              <w:spacing w:after="0"/>
              <w:rPr>
                <w:sz w:val="20"/>
                <w:szCs w:val="20"/>
                <w:color w:val="auto"/>
              </w:rPr>
            </w:pPr>
          </w:p>
        </w:tc>
        <w:tc>
          <w:tcPr>
            <w:tcW w:w="142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CECEC"/>
          </w:tcPr>
          <w:p>
            <w:pPr>
              <w:spacing w:after="0"/>
              <w:rPr>
                <w:sz w:val="20"/>
                <w:szCs w:val="20"/>
                <w:color w:val="auto"/>
              </w:rPr>
            </w:pPr>
          </w:p>
        </w:tc>
        <w:tc>
          <w:tcPr>
            <w:tcW w:w="1080" w:type="dxa"/>
            <w:vAlign w:val="bottom"/>
            <w:tcBorders>
              <w:bottom w:val="single" w:sz="8" w:color="auto"/>
            </w:tcBorders>
            <w:gridSpan w:val="2"/>
            <w:shd w:val="clear" w:color="auto" w:fill="ECECEC"/>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42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Quantity</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 July</w:t>
            </w:r>
          </w:p>
        </w:tc>
        <w:tc>
          <w:tcPr>
            <w:tcW w:w="120" w:type="dxa"/>
            <w:vAlign w:val="bottom"/>
            <w:shd w:val="clear" w:color="auto" w:fill="ECECEC"/>
          </w:tcPr>
          <w:p>
            <w:pPr>
              <w:spacing w:after="0"/>
              <w:rPr>
                <w:sz w:val="16"/>
                <w:szCs w:val="16"/>
                <w:color w:val="auto"/>
              </w:rPr>
            </w:pPr>
          </w:p>
        </w:tc>
        <w:tc>
          <w:tcPr>
            <w:tcW w:w="1080" w:type="dxa"/>
            <w:vAlign w:val="bottom"/>
            <w:gridSpan w:val="2"/>
            <w:vMerge w:val="restart"/>
            <w:shd w:val="clear" w:color="auto" w:fill="ECECEC"/>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3,144</w:t>
            </w:r>
          </w:p>
        </w:tc>
        <w:tc>
          <w:tcPr>
            <w:tcW w:w="1420" w:type="dxa"/>
            <w:vAlign w:val="bottom"/>
            <w:gridSpan w:val="2"/>
            <w:vMerge w:val="restart"/>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62,204</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ECECEC"/>
          </w:tcPr>
          <w:p>
            <w:pPr>
              <w:spacing w:after="0"/>
              <w:rPr>
                <w:sz w:val="20"/>
                <w:szCs w:val="20"/>
                <w:color w:val="auto"/>
              </w:rPr>
            </w:pPr>
          </w:p>
        </w:tc>
        <w:tc>
          <w:tcPr>
            <w:tcW w:w="1080" w:type="dxa"/>
            <w:vAlign w:val="bottom"/>
            <w:tcBorders>
              <w:bottom w:val="single" w:sz="8" w:color="auto"/>
            </w:tcBorders>
            <w:gridSpan w:val="2"/>
            <w:vMerge w:val="continue"/>
            <w:shd w:val="clear" w:color="auto" w:fill="ECECEC"/>
          </w:tcPr>
          <w:p>
            <w:pPr>
              <w:spacing w:after="0"/>
              <w:rPr>
                <w:sz w:val="20"/>
                <w:szCs w:val="20"/>
                <w:color w:val="auto"/>
              </w:rPr>
            </w:pPr>
          </w:p>
        </w:tc>
        <w:tc>
          <w:tcPr>
            <w:tcW w:w="1420" w:type="dxa"/>
            <w:vAlign w:val="bottom"/>
            <w:tcBorders>
              <w:bottom w:val="single" w:sz="8" w:color="auto"/>
            </w:tcBorders>
            <w:gridSpan w:val="2"/>
            <w:vMerge w:val="continue"/>
            <w:shd w:val="clear" w:color="auto" w:fill="ECECEC"/>
          </w:tcPr>
          <w:p>
            <w:pPr>
              <w:spacing w:after="0"/>
              <w:rPr>
                <w:sz w:val="20"/>
                <w:szCs w:val="20"/>
                <w:color w:val="auto"/>
              </w:rPr>
            </w:pP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1,293</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45,329</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BTC mined*</w:t>
            </w:r>
          </w:p>
        </w:tc>
        <w:tc>
          <w:tcPr>
            <w:tcW w:w="12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1,515</w:t>
            </w:r>
          </w:p>
        </w:tc>
        <w:tc>
          <w:tcPr>
            <w:tcW w:w="80" w:type="dxa"/>
            <w:vAlign w:val="bottom"/>
            <w:shd w:val="clear" w:color="auto" w:fill="ECECEC"/>
          </w:tcPr>
          <w:p>
            <w:pPr>
              <w:spacing w:after="0"/>
              <w:rPr>
                <w:sz w:val="18"/>
                <w:szCs w:val="18"/>
                <w:color w:val="auto"/>
              </w:rPr>
            </w:pPr>
          </w:p>
        </w:tc>
        <w:tc>
          <w:tcPr>
            <w:tcW w:w="1420" w:type="dxa"/>
            <w:vAlign w:val="bottom"/>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32,276</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1,050</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43,459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2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(2,595)</w:t>
            </w:r>
          </w:p>
        </w:tc>
        <w:tc>
          <w:tcPr>
            <w:tcW w:w="80" w:type="dxa"/>
            <w:vAlign w:val="bottom"/>
            <w:shd w:val="clear" w:color="auto" w:fill="ECECEC"/>
          </w:tcPr>
          <w:p>
            <w:pPr>
              <w:spacing w:after="0"/>
              <w:rPr>
                <w:sz w:val="18"/>
                <w:szCs w:val="18"/>
                <w:color w:val="auto"/>
              </w:rPr>
            </w:pPr>
          </w:p>
        </w:tc>
        <w:tc>
          <w:tcPr>
            <w:tcW w:w="142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(55,695)</w:t>
            </w: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2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ECECEC"/>
          </w:tcPr>
          <w:p>
            <w:pPr>
              <w:spacing w:after="0"/>
              <w:rPr>
                <w:sz w:val="18"/>
                <w:szCs w:val="18"/>
                <w:color w:val="auto"/>
              </w:rPr>
            </w:pPr>
          </w:p>
        </w:tc>
        <w:tc>
          <w:tcPr>
            <w:tcW w:w="142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(44,329)</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unrealized gain on revaluation of digital assets</w:t>
            </w:r>
          </w:p>
        </w:tc>
        <w:tc>
          <w:tcPr>
            <w:tcW w:w="12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ECECEC"/>
          </w:tcPr>
          <w:p>
            <w:pPr>
              <w:spacing w:after="0"/>
              <w:rPr>
                <w:sz w:val="21"/>
                <w:szCs w:val="21"/>
                <w:color w:val="auto"/>
              </w:rPr>
            </w:pPr>
          </w:p>
        </w:tc>
        <w:tc>
          <w:tcPr>
            <w:tcW w:w="142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45,655</w:t>
            </w: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13,893</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as of September 30,</w:t>
            </w:r>
          </w:p>
        </w:tc>
        <w:tc>
          <w:tcPr>
            <w:tcW w:w="12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2,064</w:t>
            </w:r>
          </w:p>
        </w:tc>
        <w:tc>
          <w:tcPr>
            <w:tcW w:w="80" w:type="dxa"/>
            <w:vAlign w:val="bottom"/>
            <w:tcBorders>
              <w:bottom w:val="single" w:sz="8" w:color="auto"/>
            </w:tcBorders>
            <w:shd w:val="clear" w:color="auto" w:fill="ECECEC"/>
          </w:tcPr>
          <w:p>
            <w:pPr>
              <w:spacing w:after="0"/>
              <w:rPr>
                <w:sz w:val="20"/>
                <w:szCs w:val="20"/>
                <w:color w:val="auto"/>
              </w:rPr>
            </w:pPr>
          </w:p>
        </w:tc>
        <w:tc>
          <w:tcPr>
            <w:tcW w:w="13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40,111</w:t>
            </w:r>
          </w:p>
        </w:tc>
        <w:tc>
          <w:tcPr>
            <w:tcW w:w="120" w:type="dxa"/>
            <w:vAlign w:val="bottom"/>
            <w:tcBorders>
              <w:bottom w:val="single" w:sz="8" w:color="auto"/>
            </w:tcBorders>
            <w:shd w:val="clear" w:color="auto" w:fill="ECECEC"/>
          </w:tcPr>
          <w:p>
            <w:pPr>
              <w:spacing w:after="0"/>
              <w:rPr>
                <w:sz w:val="20"/>
                <w:szCs w:val="20"/>
                <w:color w:val="auto"/>
              </w:rPr>
            </w:pP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2,312</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101,245</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September 30,**</w:t>
            </w:r>
          </w:p>
        </w:tc>
        <w:tc>
          <w:tcPr>
            <w:tcW w:w="12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(1,724</w:t>
            </w:r>
          </w:p>
        </w:tc>
        <w:tc>
          <w:tcPr>
            <w:tcW w:w="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(33,496</w:t>
            </w:r>
          </w:p>
        </w:tc>
        <w:tc>
          <w:tcPr>
            <w:tcW w:w="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59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20" w:type="dxa"/>
            <w:vAlign w:val="bottom"/>
            <w:shd w:val="clear" w:color="auto" w:fill="ECECEC"/>
          </w:tcPr>
          <w:p>
            <w:pPr>
              <w:spacing w:after="0"/>
              <w:rPr>
                <w:sz w:val="16"/>
                <w:szCs w:val="16"/>
                <w:color w:val="auto"/>
              </w:rPr>
            </w:pPr>
          </w:p>
        </w:tc>
        <w:tc>
          <w:tcPr>
            <w:tcW w:w="1000" w:type="dxa"/>
            <w:vAlign w:val="bottom"/>
            <w:shd w:val="clear" w:color="auto" w:fill="ECECEC"/>
          </w:tcPr>
          <w:p>
            <w:pPr>
              <w:spacing w:after="0"/>
              <w:rPr>
                <w:sz w:val="16"/>
                <w:szCs w:val="16"/>
                <w:color w:val="auto"/>
              </w:rPr>
            </w:pPr>
          </w:p>
        </w:tc>
        <w:tc>
          <w:tcPr>
            <w:tcW w:w="80" w:type="dxa"/>
            <w:vAlign w:val="bottom"/>
            <w:shd w:val="clear" w:color="auto" w:fill="ECECEC"/>
          </w:tcPr>
          <w:p>
            <w:pPr>
              <w:spacing w:after="0"/>
              <w:rPr>
                <w:sz w:val="16"/>
                <w:szCs w:val="16"/>
                <w:color w:val="auto"/>
              </w:rPr>
            </w:pPr>
          </w:p>
        </w:tc>
        <w:tc>
          <w:tcPr>
            <w:tcW w:w="1300" w:type="dxa"/>
            <w:vAlign w:val="bottom"/>
            <w:shd w:val="clear" w:color="auto" w:fill="ECECEC"/>
          </w:tcPr>
          <w:p>
            <w:pPr>
              <w:spacing w:after="0"/>
              <w:rPr>
                <w:sz w:val="16"/>
                <w:szCs w:val="16"/>
                <w:color w:val="auto"/>
              </w:rPr>
            </w:pPr>
          </w:p>
        </w:tc>
        <w:tc>
          <w:tcPr>
            <w:tcW w:w="120" w:type="dxa"/>
            <w:vAlign w:val="bottom"/>
            <w:shd w:val="clear" w:color="auto" w:fill="ECECEC"/>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80" w:type="dxa"/>
            <w:vAlign w:val="bottom"/>
            <w:tcBorders>
              <w:bottom w:val="single" w:sz="8" w:color="auto"/>
            </w:tcBorders>
            <w:shd w:val="clear" w:color="auto" w:fill="ECECEC"/>
          </w:tcPr>
          <w:p>
            <w:pPr>
              <w:spacing w:after="0"/>
              <w:rPr>
                <w:sz w:val="21"/>
                <w:szCs w:val="21"/>
                <w:color w:val="auto"/>
              </w:rPr>
            </w:pPr>
          </w:p>
        </w:tc>
        <w:tc>
          <w:tcPr>
            <w:tcW w:w="13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6,615</w:t>
            </w:r>
          </w:p>
        </w:tc>
        <w:tc>
          <w:tcPr>
            <w:tcW w:w="120" w:type="dxa"/>
            <w:vAlign w:val="bottom"/>
            <w:tcBorders>
              <w:bottom w:val="single" w:sz="8" w:color="auto"/>
            </w:tcBorders>
            <w:shd w:val="clear" w:color="auto" w:fill="ECECEC"/>
          </w:tcPr>
          <w:p>
            <w:pPr>
              <w:spacing w:after="0"/>
              <w:rPr>
                <w:sz w:val="21"/>
                <w:szCs w:val="21"/>
                <w:color w:val="auto"/>
              </w:rPr>
            </w:pP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2,312</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101,245</w:t>
            </w:r>
          </w:p>
        </w:tc>
        <w:tc>
          <w:tcPr>
            <w:tcW w:w="0" w:type="dxa"/>
            <w:vAlign w:val="bottom"/>
          </w:tcPr>
          <w:p>
            <w:pPr>
              <w:spacing w:after="0"/>
              <w:rPr>
                <w:sz w:val="1"/>
                <w:szCs w:val="1"/>
                <w:color w:val="auto"/>
              </w:rPr>
            </w:pPr>
          </w:p>
        </w:tc>
      </w:tr>
      <w:tr>
        <w:trPr>
          <w:trHeight w:val="459"/>
        </w:trPr>
        <w:tc>
          <w:tcPr>
            <w:tcW w:w="5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shd w:val="clear" w:color="auto" w:fill="ECECEC"/>
          </w:tcPr>
          <w:p>
            <w:pPr>
              <w:spacing w:after="0"/>
              <w:rPr>
                <w:sz w:val="20"/>
                <w:szCs w:val="20"/>
                <w:color w:val="auto"/>
              </w:rPr>
            </w:pPr>
          </w:p>
        </w:tc>
        <w:tc>
          <w:tcPr>
            <w:tcW w:w="80" w:type="dxa"/>
            <w:vAlign w:val="bottom"/>
            <w:tcBorders>
              <w:bottom w:val="single" w:sz="8" w:color="auto"/>
            </w:tcBorders>
            <w:shd w:val="clear" w:color="auto" w:fill="ECECEC"/>
          </w:tcPr>
          <w:p>
            <w:pPr>
              <w:spacing w:after="0"/>
              <w:rPr>
                <w:sz w:val="20"/>
                <w:szCs w:val="20"/>
                <w:color w:val="auto"/>
              </w:rPr>
            </w:pPr>
          </w:p>
        </w:tc>
        <w:tc>
          <w:tcPr>
            <w:tcW w:w="142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shd w:val="clear" w:color="auto" w:fill="ECECEC"/>
          </w:tcPr>
          <w:p>
            <w:pPr>
              <w:spacing w:after="0"/>
              <w:rPr>
                <w:sz w:val="20"/>
                <w:szCs w:val="20"/>
                <w:color w:val="auto"/>
              </w:rPr>
            </w:pPr>
          </w:p>
        </w:tc>
        <w:tc>
          <w:tcPr>
            <w:tcW w:w="1080" w:type="dxa"/>
            <w:vAlign w:val="bottom"/>
            <w:tcBorders>
              <w:bottom w:val="single" w:sz="8" w:color="auto"/>
            </w:tcBorders>
            <w:gridSpan w:val="2"/>
            <w:shd w:val="clear" w:color="auto" w:fill="ECECEC"/>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42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Quantity</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91"/>
        </w:trPr>
        <w:tc>
          <w:tcPr>
            <w:tcW w:w="5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Balance of digital assets including digital assets pledged as collateral as of</w:t>
            </w:r>
          </w:p>
        </w:tc>
        <w:tc>
          <w:tcPr>
            <w:tcW w:w="120" w:type="dxa"/>
            <w:vAlign w:val="bottom"/>
            <w:shd w:val="clear" w:color="auto" w:fill="ECECEC"/>
          </w:tcPr>
          <w:p>
            <w:pPr>
              <w:spacing w:after="0"/>
              <w:rPr>
                <w:sz w:val="16"/>
                <w:szCs w:val="16"/>
                <w:color w:val="auto"/>
              </w:rPr>
            </w:pPr>
          </w:p>
        </w:tc>
        <w:tc>
          <w:tcPr>
            <w:tcW w:w="1080" w:type="dxa"/>
            <w:vAlign w:val="bottom"/>
            <w:gridSpan w:val="2"/>
            <w:vMerge w:val="restart"/>
            <w:shd w:val="clear" w:color="auto" w:fill="ECECEC"/>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3,301</w:t>
            </w:r>
          </w:p>
        </w:tc>
        <w:tc>
          <w:tcPr>
            <w:tcW w:w="1420" w:type="dxa"/>
            <w:vAlign w:val="bottom"/>
            <w:gridSpan w:val="2"/>
            <w:vMerge w:val="restart"/>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152,856</w:t>
            </w: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January 1,</w:t>
            </w:r>
          </w:p>
        </w:tc>
        <w:tc>
          <w:tcPr>
            <w:tcW w:w="120" w:type="dxa"/>
            <w:vAlign w:val="bottom"/>
            <w:tcBorders>
              <w:bottom w:val="single" w:sz="8" w:color="auto"/>
            </w:tcBorders>
            <w:shd w:val="clear" w:color="auto" w:fill="ECECEC"/>
          </w:tcPr>
          <w:p>
            <w:pPr>
              <w:spacing w:after="0"/>
              <w:rPr>
                <w:sz w:val="20"/>
                <w:szCs w:val="20"/>
                <w:color w:val="auto"/>
              </w:rPr>
            </w:pPr>
          </w:p>
        </w:tc>
        <w:tc>
          <w:tcPr>
            <w:tcW w:w="1080" w:type="dxa"/>
            <w:vAlign w:val="bottom"/>
            <w:tcBorders>
              <w:bottom w:val="single" w:sz="8" w:color="auto"/>
            </w:tcBorders>
            <w:gridSpan w:val="2"/>
            <w:vMerge w:val="continue"/>
            <w:shd w:val="clear" w:color="auto" w:fill="ECECEC"/>
          </w:tcPr>
          <w:p>
            <w:pPr>
              <w:spacing w:after="0"/>
              <w:rPr>
                <w:sz w:val="20"/>
                <w:szCs w:val="20"/>
                <w:color w:val="auto"/>
              </w:rPr>
            </w:pPr>
          </w:p>
        </w:tc>
        <w:tc>
          <w:tcPr>
            <w:tcW w:w="1420" w:type="dxa"/>
            <w:vAlign w:val="bottom"/>
            <w:tcBorders>
              <w:bottom w:val="single" w:sz="8" w:color="auto"/>
            </w:tcBorders>
            <w:gridSpan w:val="2"/>
            <w:vMerge w:val="continue"/>
            <w:shd w:val="clear" w:color="auto" w:fill="ECECEC"/>
          </w:tcPr>
          <w:p>
            <w:pPr>
              <w:spacing w:after="0"/>
              <w:rPr>
                <w:sz w:val="20"/>
                <w:szCs w:val="20"/>
                <w:color w:val="auto"/>
              </w:rPr>
            </w:pP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BTC mined*</w:t>
            </w:r>
          </w:p>
        </w:tc>
        <w:tc>
          <w:tcPr>
            <w:tcW w:w="12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3,733</w:t>
            </w:r>
          </w:p>
        </w:tc>
        <w:tc>
          <w:tcPr>
            <w:tcW w:w="80" w:type="dxa"/>
            <w:vAlign w:val="bottom"/>
            <w:shd w:val="clear" w:color="auto" w:fill="ECECEC"/>
          </w:tcPr>
          <w:p>
            <w:pPr>
              <w:spacing w:after="0"/>
              <w:rPr>
                <w:sz w:val="18"/>
                <w:szCs w:val="18"/>
                <w:color w:val="auto"/>
              </w:rPr>
            </w:pPr>
          </w:p>
        </w:tc>
        <w:tc>
          <w:tcPr>
            <w:tcW w:w="1420" w:type="dxa"/>
            <w:vAlign w:val="bottom"/>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113,049</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2,407</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106,001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BTC purchased</w:t>
            </w:r>
          </w:p>
        </w:tc>
        <w:tc>
          <w:tcPr>
            <w:tcW w:w="12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80" w:type="dxa"/>
            <w:vAlign w:val="bottom"/>
            <w:shd w:val="clear" w:color="auto" w:fill="ECECEC"/>
          </w:tcPr>
          <w:p>
            <w:pPr>
              <w:spacing w:after="0"/>
              <w:rPr>
                <w:sz w:val="18"/>
                <w:szCs w:val="18"/>
                <w:color w:val="auto"/>
              </w:rPr>
            </w:pPr>
          </w:p>
        </w:tc>
        <w:tc>
          <w:tcPr>
            <w:tcW w:w="1420" w:type="dxa"/>
            <w:vAlign w:val="bottom"/>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43,237</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cash and services</w:t>
            </w:r>
          </w:p>
        </w:tc>
        <w:tc>
          <w:tcPr>
            <w:tcW w:w="12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(5,970)</w:t>
            </w:r>
          </w:p>
        </w:tc>
        <w:tc>
          <w:tcPr>
            <w:tcW w:w="80" w:type="dxa"/>
            <w:vAlign w:val="bottom"/>
            <w:shd w:val="clear" w:color="auto" w:fill="ECECEC"/>
          </w:tcPr>
          <w:p>
            <w:pPr>
              <w:spacing w:after="0"/>
              <w:rPr>
                <w:sz w:val="18"/>
                <w:szCs w:val="18"/>
                <w:color w:val="auto"/>
              </w:rPr>
            </w:pPr>
          </w:p>
        </w:tc>
        <w:tc>
          <w:tcPr>
            <w:tcW w:w="142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(125,670)</w:t>
            </w: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BTC exchanged for long-term debt repayment</w:t>
            </w:r>
          </w:p>
        </w:tc>
        <w:tc>
          <w:tcPr>
            <w:tcW w:w="12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ECECEC"/>
          </w:tcPr>
          <w:p>
            <w:pPr>
              <w:spacing w:after="0"/>
              <w:rPr>
                <w:sz w:val="18"/>
                <w:szCs w:val="18"/>
                <w:color w:val="auto"/>
              </w:rPr>
            </w:pPr>
          </w:p>
        </w:tc>
        <w:tc>
          <w:tcPr>
            <w:tcW w:w="1420" w:type="dxa"/>
            <w:vAlign w:val="bottom"/>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12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ECECEC"/>
          </w:tcPr>
          <w:p>
            <w:pPr>
              <w:spacing w:after="0"/>
              <w:rPr>
                <w:sz w:val="18"/>
                <w:szCs w:val="18"/>
                <w:color w:val="auto"/>
              </w:rPr>
            </w:pPr>
          </w:p>
        </w:tc>
        <w:tc>
          <w:tcPr>
            <w:tcW w:w="13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(122,243)</w:t>
            </w:r>
          </w:p>
        </w:tc>
        <w:tc>
          <w:tcPr>
            <w:tcW w:w="12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Change in unrealized loss on revaluation of digital assets</w:t>
            </w:r>
          </w:p>
        </w:tc>
        <w:tc>
          <w:tcPr>
            <w:tcW w:w="12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ECECEC"/>
          </w:tcPr>
          <w:p>
            <w:pPr>
              <w:spacing w:after="0"/>
              <w:rPr>
                <w:sz w:val="21"/>
                <w:szCs w:val="21"/>
                <w:color w:val="auto"/>
              </w:rPr>
            </w:pPr>
          </w:p>
        </w:tc>
        <w:tc>
          <w:tcPr>
            <w:tcW w:w="13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(21,118</w:t>
            </w:r>
          </w:p>
        </w:tc>
        <w:tc>
          <w:tcPr>
            <w:tcW w:w="120" w:type="dxa"/>
            <w:vAlign w:val="bottom"/>
            <w:tcBorders>
              <w:bottom w:val="single" w:sz="8" w:color="auto"/>
            </w:tcBorders>
            <w:vMerge w:val="continue"/>
            <w:shd w:val="clear" w:color="auto" w:fill="ECECEC"/>
          </w:tcPr>
          <w:p>
            <w:pPr>
              <w:spacing w:after="0"/>
              <w:rPr>
                <w:sz w:val="21"/>
                <w:szCs w:val="21"/>
                <w:color w:val="auto"/>
              </w:rPr>
            </w:pP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digital assets as of September 30,</w:t>
            </w:r>
          </w:p>
        </w:tc>
        <w:tc>
          <w:tcPr>
            <w:tcW w:w="12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2,064</w:t>
            </w:r>
          </w:p>
        </w:tc>
        <w:tc>
          <w:tcPr>
            <w:tcW w:w="80" w:type="dxa"/>
            <w:vAlign w:val="bottom"/>
            <w:tcBorders>
              <w:bottom w:val="single" w:sz="8" w:color="auto"/>
            </w:tcBorders>
            <w:shd w:val="clear" w:color="auto" w:fill="ECECEC"/>
          </w:tcPr>
          <w:p>
            <w:pPr>
              <w:spacing w:after="0"/>
              <w:rPr>
                <w:sz w:val="20"/>
                <w:szCs w:val="20"/>
                <w:color w:val="auto"/>
              </w:rPr>
            </w:pPr>
          </w:p>
        </w:tc>
        <w:tc>
          <w:tcPr>
            <w:tcW w:w="13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40,111</w:t>
            </w:r>
          </w:p>
        </w:tc>
        <w:tc>
          <w:tcPr>
            <w:tcW w:w="120" w:type="dxa"/>
            <w:vAlign w:val="bottom"/>
            <w:tcBorders>
              <w:bottom w:val="single" w:sz="8" w:color="auto"/>
            </w:tcBorders>
            <w:shd w:val="clear" w:color="auto" w:fill="ECECEC"/>
          </w:tcPr>
          <w:p>
            <w:pPr>
              <w:spacing w:after="0"/>
              <w:rPr>
                <w:sz w:val="20"/>
                <w:szCs w:val="20"/>
                <w:color w:val="auto"/>
              </w:rPr>
            </w:pP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2,312</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101,245</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digital assets pledged as collateral as of September 30,**</w:t>
            </w:r>
          </w:p>
        </w:tc>
        <w:tc>
          <w:tcPr>
            <w:tcW w:w="12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(1,724</w:t>
            </w:r>
          </w:p>
        </w:tc>
        <w:tc>
          <w:tcPr>
            <w:tcW w:w="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(33,496</w:t>
            </w:r>
          </w:p>
        </w:tc>
        <w:tc>
          <w:tcPr>
            <w:tcW w:w="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7"/>
        </w:trPr>
        <w:tc>
          <w:tcPr>
            <w:tcW w:w="59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of digital assets excluding digital assets pledged as collateral as of</w:t>
            </w:r>
          </w:p>
        </w:tc>
        <w:tc>
          <w:tcPr>
            <w:tcW w:w="120" w:type="dxa"/>
            <w:vAlign w:val="bottom"/>
            <w:shd w:val="clear" w:color="auto" w:fill="ECECEC"/>
          </w:tcPr>
          <w:p>
            <w:pPr>
              <w:spacing w:after="0"/>
              <w:rPr>
                <w:sz w:val="16"/>
                <w:szCs w:val="16"/>
                <w:color w:val="auto"/>
              </w:rPr>
            </w:pPr>
          </w:p>
        </w:tc>
        <w:tc>
          <w:tcPr>
            <w:tcW w:w="1000" w:type="dxa"/>
            <w:vAlign w:val="bottom"/>
            <w:shd w:val="clear" w:color="auto" w:fill="ECECEC"/>
          </w:tcPr>
          <w:p>
            <w:pPr>
              <w:spacing w:after="0"/>
              <w:rPr>
                <w:sz w:val="16"/>
                <w:szCs w:val="16"/>
                <w:color w:val="auto"/>
              </w:rPr>
            </w:pPr>
          </w:p>
        </w:tc>
        <w:tc>
          <w:tcPr>
            <w:tcW w:w="80" w:type="dxa"/>
            <w:vAlign w:val="bottom"/>
            <w:shd w:val="clear" w:color="auto" w:fill="ECECEC"/>
          </w:tcPr>
          <w:p>
            <w:pPr>
              <w:spacing w:after="0"/>
              <w:rPr>
                <w:sz w:val="16"/>
                <w:szCs w:val="16"/>
                <w:color w:val="auto"/>
              </w:rPr>
            </w:pPr>
          </w:p>
        </w:tc>
        <w:tc>
          <w:tcPr>
            <w:tcW w:w="1300" w:type="dxa"/>
            <w:vAlign w:val="bottom"/>
            <w:shd w:val="clear" w:color="auto" w:fill="ECECEC"/>
          </w:tcPr>
          <w:p>
            <w:pPr>
              <w:spacing w:after="0"/>
              <w:rPr>
                <w:sz w:val="16"/>
                <w:szCs w:val="16"/>
                <w:color w:val="auto"/>
              </w:rPr>
            </w:pPr>
          </w:p>
        </w:tc>
        <w:tc>
          <w:tcPr>
            <w:tcW w:w="120" w:type="dxa"/>
            <w:vAlign w:val="bottom"/>
            <w:shd w:val="clear" w:color="auto" w:fill="ECECEC"/>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c>
          <w:tcPr>
            <w:tcW w:w="80" w:type="dxa"/>
            <w:vAlign w:val="bottom"/>
            <w:tcBorders>
              <w:bottom w:val="single" w:sz="8" w:color="auto"/>
            </w:tcBorders>
            <w:shd w:val="clear" w:color="auto" w:fill="ECECEC"/>
          </w:tcPr>
          <w:p>
            <w:pPr>
              <w:spacing w:after="0"/>
              <w:rPr>
                <w:sz w:val="21"/>
                <w:szCs w:val="21"/>
                <w:color w:val="auto"/>
              </w:rPr>
            </w:pPr>
          </w:p>
        </w:tc>
        <w:tc>
          <w:tcPr>
            <w:tcW w:w="13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6,615</w:t>
            </w:r>
          </w:p>
        </w:tc>
        <w:tc>
          <w:tcPr>
            <w:tcW w:w="120" w:type="dxa"/>
            <w:vAlign w:val="bottom"/>
            <w:tcBorders>
              <w:bottom w:val="single" w:sz="8" w:color="auto"/>
            </w:tcBorders>
            <w:shd w:val="clear" w:color="auto" w:fill="ECECEC"/>
          </w:tcPr>
          <w:p>
            <w:pPr>
              <w:spacing w:after="0"/>
              <w:rPr>
                <w:sz w:val="21"/>
                <w:szCs w:val="21"/>
                <w:color w:val="auto"/>
              </w:rPr>
            </w:pPr>
          </w:p>
        </w:tc>
        <w:tc>
          <w:tcPr>
            <w:tcW w:w="16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2,312</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101,245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33"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estimates the fair value of BTC mined on a daily basis as the quantity of cryptocurrency received multiplied by the price quoted on www.coinmarketcap.com (“Coinmarketcap”) on the day it was received. Management considers the prices quoted on Coinmarketcap to be a level 2 input under IFRS 13 Fair Value Measurement.</w:t>
      </w:r>
    </w:p>
    <w:p>
      <w:pPr>
        <w:ind w:left="340" w:hanging="332"/>
        <w:spacing w:after="0"/>
        <w:tabs>
          <w:tab w:leader="none" w:pos="3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10 and 11 for details of the Company’s credit facility and long-term debt, respectively, and BTC pledged as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2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September 30, 2022, and December 31, 2021, property, plant and equipment (“PPE”)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Borders>
              <w:bottom w:val="single" w:sz="8" w:color="auto"/>
            </w:tcBorders>
            <w:shd w:val="clear" w:color="auto" w:fill="ECECEC"/>
          </w:tcPr>
          <w:p>
            <w:pPr>
              <w:spacing w:after="0"/>
              <w:rPr>
                <w:sz w:val="20"/>
                <w:szCs w:val="20"/>
                <w:color w:val="auto"/>
              </w:rPr>
            </w:pPr>
          </w:p>
        </w:tc>
        <w:tc>
          <w:tcPr>
            <w:tcW w:w="960" w:type="dxa"/>
            <w:vAlign w:val="bottom"/>
            <w:tcBorders>
              <w:bottom w:val="single" w:sz="8" w:color="auto"/>
            </w:tcBorders>
            <w:shd w:val="clear" w:color="auto" w:fill="ECECEC"/>
          </w:tcPr>
          <w:p>
            <w:pPr>
              <w:spacing w:after="0"/>
              <w:rPr>
                <w:sz w:val="20"/>
                <w:szCs w:val="20"/>
                <w:color w:val="auto"/>
              </w:rPr>
            </w:pPr>
          </w:p>
        </w:tc>
        <w:tc>
          <w:tcPr>
            <w:tcW w:w="1180" w:type="dxa"/>
            <w:vAlign w:val="bottom"/>
            <w:tcBorders>
              <w:bottom w:val="single" w:sz="8" w:color="auto"/>
            </w:tcBorders>
            <w:shd w:val="clear" w:color="auto" w:fill="ECECEC"/>
          </w:tcPr>
          <w:p>
            <w:pPr>
              <w:spacing w:after="0"/>
              <w:rPr>
                <w:sz w:val="20"/>
                <w:szCs w:val="20"/>
                <w:color w:val="auto"/>
              </w:rPr>
            </w:pPr>
          </w:p>
        </w:tc>
        <w:tc>
          <w:tcPr>
            <w:tcW w:w="10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shd w:val="clear" w:color="auto" w:fill="ECECEC"/>
          </w:tcPr>
          <w:p>
            <w:pPr>
              <w:spacing w:after="0"/>
              <w:rPr>
                <w:sz w:val="20"/>
                <w:szCs w:val="20"/>
                <w:color w:val="auto"/>
              </w:rPr>
            </w:pPr>
          </w:p>
        </w:tc>
        <w:tc>
          <w:tcPr>
            <w:tcW w:w="1200" w:type="dxa"/>
            <w:vAlign w:val="bottom"/>
            <w:tcBorders>
              <w:bottom w:val="single" w:sz="8" w:color="auto"/>
            </w:tcBorders>
            <w:shd w:val="clear" w:color="auto" w:fill="ECECEC"/>
          </w:tcPr>
          <w:p>
            <w:pPr>
              <w:spacing w:after="0"/>
              <w:rPr>
                <w:sz w:val="20"/>
                <w:szCs w:val="20"/>
                <w:color w:val="auto"/>
              </w:rPr>
            </w:pPr>
          </w:p>
        </w:tc>
        <w:tc>
          <w:tcPr>
            <w:tcW w:w="1440" w:type="dxa"/>
            <w:vAlign w:val="bottom"/>
            <w:tcBorders>
              <w:bottom w:val="single" w:sz="8" w:color="auto"/>
            </w:tcBorders>
            <w:shd w:val="clear" w:color="auto" w:fill="ECECEC"/>
          </w:tcPr>
          <w:p>
            <w:pPr>
              <w:spacing w:after="0"/>
              <w:rPr>
                <w:sz w:val="20"/>
                <w:szCs w:val="20"/>
                <w:color w:val="auto"/>
              </w:rPr>
            </w:pPr>
          </w:p>
        </w:tc>
        <w:tc>
          <w:tcPr>
            <w:tcW w:w="1260" w:type="dxa"/>
            <w:vAlign w:val="bottom"/>
            <w:tcBorders>
              <w:bottom w:val="single" w:sz="8" w:color="auto"/>
              <w:right w:val="single" w:sz="8" w:color="ECECEC"/>
            </w:tcBorders>
            <w:shd w:val="clear" w:color="auto" w:fill="ECECEC"/>
          </w:tcPr>
          <w:p>
            <w:pPr>
              <w:spacing w:after="0"/>
              <w:rPr>
                <w:sz w:val="20"/>
                <w:szCs w:val="20"/>
                <w:color w:val="auto"/>
              </w:rPr>
            </w:pPr>
          </w:p>
        </w:tc>
        <w:tc>
          <w:tcPr>
            <w:tcW w:w="760" w:type="dxa"/>
            <w:vAlign w:val="bottom"/>
            <w:tcBorders>
              <w:bottom w:val="single" w:sz="8" w:color="auto"/>
            </w:tcBorders>
            <w:shd w:val="clear" w:color="auto" w:fill="ECECE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 w:type="dxa"/>
            <w:vAlign w:val="bottom"/>
            <w:tcBorders>
              <w:bottom w:val="single" w:sz="8" w:color="auto"/>
            </w:tcBorders>
            <w:shd w:val="clear" w:color="auto" w:fill="ECECEC"/>
          </w:tcPr>
          <w:p>
            <w:pPr>
              <w:spacing w:after="0"/>
              <w:rPr>
                <w:sz w:val="20"/>
                <w:szCs w:val="20"/>
                <w:color w:val="auto"/>
              </w:rPr>
            </w:pPr>
          </w:p>
        </w:tc>
        <w:tc>
          <w:tcPr>
            <w:tcW w:w="960" w:type="dxa"/>
            <w:vAlign w:val="bottom"/>
            <w:tcBorders>
              <w:bottom w:val="single" w:sz="8" w:color="auto"/>
            </w:tcBorders>
            <w:shd w:val="clear" w:color="auto" w:fill="ECECEC"/>
          </w:tcPr>
          <w:p>
            <w:pPr>
              <w:spacing w:after="0"/>
              <w:rPr>
                <w:sz w:val="20"/>
                <w:szCs w:val="20"/>
                <w:color w:val="auto"/>
              </w:rPr>
            </w:pPr>
          </w:p>
        </w:tc>
        <w:tc>
          <w:tcPr>
            <w:tcW w:w="11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156,647</w:t>
            </w:r>
          </w:p>
        </w:tc>
        <w:tc>
          <w:tcPr>
            <w:tcW w:w="11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9,000</w:t>
            </w:r>
          </w:p>
        </w:tc>
        <w:tc>
          <w:tcPr>
            <w:tcW w:w="120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4,549</w:t>
            </w:r>
          </w:p>
        </w:tc>
        <w:tc>
          <w:tcPr>
            <w:tcW w:w="144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5,783</w:t>
            </w:r>
          </w:p>
        </w:tc>
        <w:tc>
          <w:tcPr>
            <w:tcW w:w="1260" w:type="dxa"/>
            <w:vAlign w:val="bottom"/>
            <w:tcBorders>
              <w:bottom w:val="single" w:sz="8" w:color="auto"/>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547</w:t>
            </w:r>
          </w:p>
        </w:tc>
        <w:tc>
          <w:tcPr>
            <w:tcW w:w="7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176,526</w:t>
            </w:r>
          </w:p>
        </w:tc>
        <w:tc>
          <w:tcPr>
            <w:tcW w:w="0" w:type="dxa"/>
            <w:vAlign w:val="bottom"/>
          </w:tcPr>
          <w:p>
            <w:pPr>
              <w:spacing w:after="0"/>
              <w:rPr>
                <w:sz w:val="1"/>
                <w:szCs w:val="1"/>
                <w:color w:val="auto"/>
              </w:rPr>
            </w:pPr>
          </w:p>
        </w:tc>
      </w:tr>
      <w:tr>
        <w:trPr>
          <w:trHeight w:val="191"/>
        </w:trPr>
        <w:tc>
          <w:tcPr>
            <w:tcW w:w="3240" w:type="dxa"/>
            <w:vAlign w:val="bottom"/>
            <w:shd w:val="clear" w:color="auto" w:fill="ECECEC"/>
          </w:tcPr>
          <w:p>
            <w:pPr>
              <w:spacing w:after="0" w:line="191" w:lineRule="exact"/>
              <w:rPr>
                <w:sz w:val="20"/>
                <w:szCs w:val="20"/>
                <w:color w:val="auto"/>
              </w:rPr>
            </w:pPr>
            <w:r>
              <w:rPr>
                <w:rFonts w:ascii="Times New Roman" w:cs="Times New Roman" w:eastAsia="Times New Roman" w:hAnsi="Times New Roman"/>
                <w:sz w:val="18"/>
                <w:szCs w:val="18"/>
                <w:color w:val="auto"/>
              </w:rPr>
              <w:t>Measurement period adjustment to business</w:t>
            </w:r>
          </w:p>
        </w:tc>
        <w:tc>
          <w:tcPr>
            <w:tcW w:w="100" w:type="dxa"/>
            <w:vAlign w:val="bottom"/>
            <w:shd w:val="clear" w:color="auto" w:fill="ECECEC"/>
          </w:tcPr>
          <w:p>
            <w:pPr>
              <w:spacing w:after="0"/>
              <w:rPr>
                <w:sz w:val="16"/>
                <w:szCs w:val="16"/>
                <w:color w:val="auto"/>
              </w:rPr>
            </w:pPr>
          </w:p>
        </w:tc>
        <w:tc>
          <w:tcPr>
            <w:tcW w:w="9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18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(1,127)</w:t>
            </w:r>
          </w:p>
        </w:tc>
        <w:tc>
          <w:tcPr>
            <w:tcW w:w="100" w:type="dxa"/>
            <w:vAlign w:val="bottom"/>
            <w:shd w:val="clear" w:color="auto" w:fill="ECECEC"/>
          </w:tcPr>
          <w:p>
            <w:pPr>
              <w:spacing w:after="0"/>
              <w:rPr>
                <w:sz w:val="16"/>
                <w:szCs w:val="16"/>
                <w:color w:val="auto"/>
              </w:rPr>
            </w:pPr>
          </w:p>
        </w:tc>
        <w:tc>
          <w:tcPr>
            <w:tcW w:w="100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440" w:type="dxa"/>
            <w:vAlign w:val="bottom"/>
            <w:vMerge w:val="restart"/>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right w:val="single" w:sz="8" w:color="ECECEC"/>
            </w:tcBorders>
            <w:vMerge w:val="restart"/>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(1,145)</w:t>
            </w:r>
          </w:p>
        </w:tc>
        <w:tc>
          <w:tcPr>
            <w:tcW w:w="0" w:type="dxa"/>
            <w:vAlign w:val="bottom"/>
          </w:tcPr>
          <w:p>
            <w:pPr>
              <w:spacing w:after="0"/>
              <w:rPr>
                <w:sz w:val="1"/>
                <w:szCs w:val="1"/>
                <w:color w:val="auto"/>
              </w:rPr>
            </w:pPr>
          </w:p>
        </w:tc>
      </w:tr>
      <w:tr>
        <w:trPr>
          <w:trHeight w:val="234"/>
        </w:trPr>
        <w:tc>
          <w:tcPr>
            <w:tcW w:w="324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combination</w:t>
            </w:r>
          </w:p>
        </w:tc>
        <w:tc>
          <w:tcPr>
            <w:tcW w:w="100" w:type="dxa"/>
            <w:vAlign w:val="bottom"/>
            <w:shd w:val="clear" w:color="auto" w:fill="ECECEC"/>
          </w:tcPr>
          <w:p>
            <w:pPr>
              <w:spacing w:after="0"/>
              <w:rPr>
                <w:sz w:val="20"/>
                <w:szCs w:val="20"/>
                <w:color w:val="auto"/>
              </w:rPr>
            </w:pPr>
          </w:p>
        </w:tc>
        <w:tc>
          <w:tcPr>
            <w:tcW w:w="960" w:type="dxa"/>
            <w:vAlign w:val="bottom"/>
            <w:vMerge w:val="continue"/>
            <w:shd w:val="clear" w:color="auto" w:fill="ECECEC"/>
          </w:tcPr>
          <w:p>
            <w:pPr>
              <w:spacing w:after="0"/>
              <w:rPr>
                <w:sz w:val="20"/>
                <w:szCs w:val="20"/>
                <w:color w:val="auto"/>
              </w:rPr>
            </w:pPr>
          </w:p>
        </w:tc>
        <w:tc>
          <w:tcPr>
            <w:tcW w:w="1180" w:type="dxa"/>
            <w:vAlign w:val="bottom"/>
            <w:vMerge w:val="continue"/>
            <w:shd w:val="clear" w:color="auto" w:fill="ECECEC"/>
          </w:tcPr>
          <w:p>
            <w:pPr>
              <w:spacing w:after="0"/>
              <w:rPr>
                <w:sz w:val="20"/>
                <w:szCs w:val="20"/>
                <w:color w:val="auto"/>
              </w:rPr>
            </w:pPr>
          </w:p>
        </w:tc>
        <w:tc>
          <w:tcPr>
            <w:tcW w:w="100" w:type="dxa"/>
            <w:vAlign w:val="bottom"/>
            <w:shd w:val="clear" w:color="auto" w:fill="ECECEC"/>
          </w:tcPr>
          <w:p>
            <w:pPr>
              <w:spacing w:after="0"/>
              <w:rPr>
                <w:sz w:val="20"/>
                <w:szCs w:val="20"/>
                <w:color w:val="auto"/>
              </w:rPr>
            </w:pPr>
          </w:p>
        </w:tc>
        <w:tc>
          <w:tcPr>
            <w:tcW w:w="1000" w:type="dxa"/>
            <w:vAlign w:val="bottom"/>
            <w:vMerge w:val="continue"/>
            <w:shd w:val="clear" w:color="auto" w:fill="ECECEC"/>
          </w:tcPr>
          <w:p>
            <w:pPr>
              <w:spacing w:after="0"/>
              <w:rPr>
                <w:sz w:val="20"/>
                <w:szCs w:val="20"/>
                <w:color w:val="auto"/>
              </w:rPr>
            </w:pPr>
          </w:p>
        </w:tc>
        <w:tc>
          <w:tcPr>
            <w:tcW w:w="1200" w:type="dxa"/>
            <w:vAlign w:val="bottom"/>
            <w:vMerge w:val="continue"/>
            <w:shd w:val="clear" w:color="auto" w:fill="ECECEC"/>
          </w:tcPr>
          <w:p>
            <w:pPr>
              <w:spacing w:after="0"/>
              <w:rPr>
                <w:sz w:val="20"/>
                <w:szCs w:val="20"/>
                <w:color w:val="auto"/>
              </w:rPr>
            </w:pPr>
          </w:p>
        </w:tc>
        <w:tc>
          <w:tcPr>
            <w:tcW w:w="1440" w:type="dxa"/>
            <w:vAlign w:val="bottom"/>
            <w:vMerge w:val="continue"/>
            <w:shd w:val="clear" w:color="auto" w:fill="ECECEC"/>
          </w:tcPr>
          <w:p>
            <w:pPr>
              <w:spacing w:after="0"/>
              <w:rPr>
                <w:sz w:val="20"/>
                <w:szCs w:val="20"/>
                <w:color w:val="auto"/>
              </w:rPr>
            </w:pPr>
          </w:p>
        </w:tc>
        <w:tc>
          <w:tcPr>
            <w:tcW w:w="1260" w:type="dxa"/>
            <w:vAlign w:val="bottom"/>
            <w:tcBorders>
              <w:right w:val="single" w:sz="8" w:color="ECECEC"/>
            </w:tcBorders>
            <w:vMerge w:val="continue"/>
            <w:shd w:val="clear" w:color="auto" w:fill="ECECEC"/>
          </w:tcPr>
          <w:p>
            <w:pPr>
              <w:spacing w:after="0"/>
              <w:rPr>
                <w:sz w:val="20"/>
                <w:szCs w:val="20"/>
                <w:color w:val="auto"/>
              </w:rPr>
            </w:pPr>
          </w:p>
        </w:tc>
        <w:tc>
          <w:tcPr>
            <w:tcW w:w="760" w:type="dxa"/>
            <w:vAlign w:val="bottom"/>
            <w:vMerge w:val="continue"/>
            <w:shd w:val="clear" w:color="auto" w:fill="ECECE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00" w:type="dxa"/>
            <w:vAlign w:val="bottom"/>
            <w:shd w:val="clear" w:color="auto" w:fill="ECECEC"/>
          </w:tcPr>
          <w:p>
            <w:pPr>
              <w:spacing w:after="0"/>
              <w:rPr>
                <w:sz w:val="18"/>
                <w:szCs w:val="18"/>
                <w:color w:val="auto"/>
              </w:rPr>
            </w:pPr>
          </w:p>
        </w:tc>
        <w:tc>
          <w:tcPr>
            <w:tcW w:w="960" w:type="dxa"/>
            <w:vAlign w:val="bottom"/>
            <w:shd w:val="clear" w:color="auto" w:fill="ECECEC"/>
          </w:tcPr>
          <w:p>
            <w:pPr>
              <w:spacing w:after="0"/>
              <w:rPr>
                <w:sz w:val="18"/>
                <w:szCs w:val="18"/>
                <w:color w:val="auto"/>
              </w:rPr>
            </w:pPr>
          </w:p>
        </w:tc>
        <w:tc>
          <w:tcPr>
            <w:tcW w:w="11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142,268</w:t>
            </w:r>
          </w:p>
        </w:tc>
        <w:tc>
          <w:tcPr>
            <w:tcW w:w="10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2,334</w:t>
            </w:r>
          </w:p>
        </w:tc>
        <w:tc>
          <w:tcPr>
            <w:tcW w:w="1440" w:type="dxa"/>
            <w:vAlign w:val="bottom"/>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24,259</w:t>
            </w:r>
          </w:p>
        </w:tc>
        <w:tc>
          <w:tcPr>
            <w:tcW w:w="1260" w:type="dxa"/>
            <w:vAlign w:val="bottom"/>
            <w:tcBorders>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272</w:t>
            </w:r>
          </w:p>
        </w:tc>
        <w:tc>
          <w:tcPr>
            <w:tcW w:w="7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169,133</w:t>
            </w:r>
          </w:p>
        </w:tc>
        <w:tc>
          <w:tcPr>
            <w:tcW w:w="0" w:type="dxa"/>
            <w:vAlign w:val="bottom"/>
          </w:tcPr>
          <w:p>
            <w:pPr>
              <w:spacing w:after="0"/>
              <w:rPr>
                <w:sz w:val="1"/>
                <w:szCs w:val="1"/>
                <w:color w:val="auto"/>
              </w:rPr>
            </w:pPr>
          </w:p>
        </w:tc>
      </w:tr>
      <w:tr>
        <w:trPr>
          <w:trHeight w:val="216"/>
        </w:trPr>
        <w:tc>
          <w:tcPr>
            <w:tcW w:w="324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Dispositions during the period</w:t>
            </w:r>
          </w:p>
        </w:tc>
        <w:tc>
          <w:tcPr>
            <w:tcW w:w="100" w:type="dxa"/>
            <w:vAlign w:val="bottom"/>
            <w:shd w:val="clear" w:color="auto" w:fill="ECECEC"/>
          </w:tcPr>
          <w:p>
            <w:pPr>
              <w:spacing w:after="0"/>
              <w:rPr>
                <w:sz w:val="18"/>
                <w:szCs w:val="18"/>
                <w:color w:val="auto"/>
              </w:rPr>
            </w:pPr>
          </w:p>
        </w:tc>
        <w:tc>
          <w:tcPr>
            <w:tcW w:w="960" w:type="dxa"/>
            <w:vAlign w:val="bottom"/>
            <w:shd w:val="clear" w:color="auto" w:fill="ECECEC"/>
          </w:tcPr>
          <w:p>
            <w:pPr>
              <w:spacing w:after="0"/>
              <w:rPr>
                <w:sz w:val="18"/>
                <w:szCs w:val="18"/>
                <w:color w:val="auto"/>
              </w:rPr>
            </w:pPr>
          </w:p>
        </w:tc>
        <w:tc>
          <w:tcPr>
            <w:tcW w:w="11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(2,690)</w:t>
            </w:r>
          </w:p>
        </w:tc>
        <w:tc>
          <w:tcPr>
            <w:tcW w:w="10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(2,690)</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0" w:type="dxa"/>
            <w:vAlign w:val="bottom"/>
            <w:tcBorders>
              <w:bottom w:val="single" w:sz="8" w:color="auto"/>
            </w:tcBorders>
            <w:shd w:val="clear" w:color="auto" w:fill="ECECEC"/>
          </w:tcPr>
          <w:p>
            <w:pPr>
              <w:spacing w:after="0"/>
              <w:rPr>
                <w:sz w:val="21"/>
                <w:szCs w:val="21"/>
                <w:color w:val="auto"/>
              </w:rPr>
            </w:pPr>
          </w:p>
        </w:tc>
        <w:tc>
          <w:tcPr>
            <w:tcW w:w="960" w:type="dxa"/>
            <w:vAlign w:val="bottom"/>
            <w:tcBorders>
              <w:bottom w:val="single" w:sz="8" w:color="auto"/>
            </w:tcBorders>
            <w:shd w:val="clear" w:color="auto" w:fill="ECECEC"/>
          </w:tcPr>
          <w:p>
            <w:pPr>
              <w:spacing w:after="0"/>
              <w:rPr>
                <w:sz w:val="21"/>
                <w:szCs w:val="21"/>
                <w:color w:val="auto"/>
              </w:rPr>
            </w:pPr>
          </w:p>
        </w:tc>
        <w:tc>
          <w:tcPr>
            <w:tcW w:w="11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(8,143)</w:t>
            </w:r>
          </w:p>
        </w:tc>
        <w:tc>
          <w:tcPr>
            <w:tcW w:w="10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(8,143)</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00" w:type="dxa"/>
            <w:vAlign w:val="bottom"/>
            <w:tcBorders>
              <w:bottom w:val="single" w:sz="8" w:color="auto"/>
            </w:tcBorders>
            <w:shd w:val="clear" w:color="auto" w:fill="ECECEC"/>
          </w:tcPr>
          <w:p>
            <w:pPr>
              <w:spacing w:after="0"/>
              <w:rPr>
                <w:sz w:val="20"/>
                <w:szCs w:val="20"/>
                <w:color w:val="auto"/>
              </w:rPr>
            </w:pPr>
          </w:p>
        </w:tc>
        <w:tc>
          <w:tcPr>
            <w:tcW w:w="960" w:type="dxa"/>
            <w:vAlign w:val="bottom"/>
            <w:tcBorders>
              <w:bottom w:val="single" w:sz="8" w:color="auto"/>
            </w:tcBorders>
            <w:shd w:val="clear" w:color="auto" w:fill="ECECEC"/>
          </w:tcPr>
          <w:p>
            <w:pPr>
              <w:spacing w:after="0"/>
              <w:rPr>
                <w:sz w:val="20"/>
                <w:szCs w:val="20"/>
                <w:color w:val="auto"/>
              </w:rPr>
            </w:pPr>
          </w:p>
        </w:tc>
        <w:tc>
          <w:tcPr>
            <w:tcW w:w="11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286,955</w:t>
            </w:r>
          </w:p>
        </w:tc>
        <w:tc>
          <w:tcPr>
            <w:tcW w:w="11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9,000</w:t>
            </w:r>
          </w:p>
        </w:tc>
        <w:tc>
          <w:tcPr>
            <w:tcW w:w="120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6,865</w:t>
            </w:r>
          </w:p>
        </w:tc>
        <w:tc>
          <w:tcPr>
            <w:tcW w:w="144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30,042</w:t>
            </w:r>
          </w:p>
        </w:tc>
        <w:tc>
          <w:tcPr>
            <w:tcW w:w="1260" w:type="dxa"/>
            <w:vAlign w:val="bottom"/>
            <w:tcBorders>
              <w:bottom w:val="single" w:sz="8" w:color="auto"/>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819</w:t>
            </w:r>
          </w:p>
        </w:tc>
        <w:tc>
          <w:tcPr>
            <w:tcW w:w="7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333,681</w:t>
            </w:r>
          </w:p>
        </w:tc>
        <w:tc>
          <w:tcPr>
            <w:tcW w:w="0" w:type="dxa"/>
            <w:vAlign w:val="bottom"/>
          </w:tcPr>
          <w:p>
            <w:pPr>
              <w:spacing w:after="0"/>
              <w:rPr>
                <w:sz w:val="1"/>
                <w:szCs w:val="1"/>
                <w:color w:val="auto"/>
              </w:rPr>
            </w:pPr>
          </w:p>
        </w:tc>
      </w:tr>
      <w:tr>
        <w:trPr>
          <w:trHeight w:val="453"/>
        </w:trPr>
        <w:tc>
          <w:tcPr>
            <w:tcW w:w="324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0" w:type="dxa"/>
            <w:vAlign w:val="bottom"/>
            <w:tcBorders>
              <w:bottom w:val="single" w:sz="8" w:color="auto"/>
            </w:tcBorders>
            <w:shd w:val="clear" w:color="auto" w:fill="ECECEC"/>
          </w:tcPr>
          <w:p>
            <w:pPr>
              <w:spacing w:after="0"/>
              <w:rPr>
                <w:sz w:val="24"/>
                <w:szCs w:val="24"/>
                <w:color w:val="auto"/>
              </w:rPr>
            </w:pPr>
          </w:p>
        </w:tc>
        <w:tc>
          <w:tcPr>
            <w:tcW w:w="960" w:type="dxa"/>
            <w:vAlign w:val="bottom"/>
            <w:tcBorders>
              <w:bottom w:val="single" w:sz="8" w:color="auto"/>
            </w:tcBorders>
            <w:shd w:val="clear" w:color="auto" w:fill="ECECEC"/>
          </w:tcPr>
          <w:p>
            <w:pPr>
              <w:spacing w:after="0"/>
              <w:rPr>
                <w:sz w:val="24"/>
                <w:szCs w:val="24"/>
                <w:color w:val="auto"/>
              </w:rPr>
            </w:pPr>
          </w:p>
        </w:tc>
        <w:tc>
          <w:tcPr>
            <w:tcW w:w="1180" w:type="dxa"/>
            <w:vAlign w:val="bottom"/>
            <w:tcBorders>
              <w:bottom w:val="single" w:sz="8" w:color="auto"/>
            </w:tcBorders>
            <w:shd w:val="clear" w:color="auto" w:fill="ECECEC"/>
          </w:tcPr>
          <w:p>
            <w:pPr>
              <w:spacing w:after="0"/>
              <w:rPr>
                <w:sz w:val="24"/>
                <w:szCs w:val="24"/>
                <w:color w:val="auto"/>
              </w:rPr>
            </w:pPr>
          </w:p>
        </w:tc>
        <w:tc>
          <w:tcPr>
            <w:tcW w:w="100" w:type="dxa"/>
            <w:vAlign w:val="bottom"/>
            <w:tcBorders>
              <w:bottom w:val="single" w:sz="8" w:color="auto"/>
            </w:tcBorders>
            <w:shd w:val="clear" w:color="auto" w:fill="ECECEC"/>
          </w:tcPr>
          <w:p>
            <w:pPr>
              <w:spacing w:after="0"/>
              <w:rPr>
                <w:sz w:val="24"/>
                <w:szCs w:val="24"/>
                <w:color w:val="auto"/>
              </w:rPr>
            </w:pPr>
          </w:p>
        </w:tc>
        <w:tc>
          <w:tcPr>
            <w:tcW w:w="1000" w:type="dxa"/>
            <w:vAlign w:val="bottom"/>
            <w:tcBorders>
              <w:bottom w:val="single" w:sz="8" w:color="auto"/>
            </w:tcBorders>
            <w:shd w:val="clear" w:color="auto" w:fill="ECECEC"/>
          </w:tcPr>
          <w:p>
            <w:pPr>
              <w:spacing w:after="0"/>
              <w:rPr>
                <w:sz w:val="24"/>
                <w:szCs w:val="24"/>
                <w:color w:val="auto"/>
              </w:rPr>
            </w:pPr>
          </w:p>
        </w:tc>
        <w:tc>
          <w:tcPr>
            <w:tcW w:w="1200" w:type="dxa"/>
            <w:vAlign w:val="bottom"/>
            <w:tcBorders>
              <w:bottom w:val="single" w:sz="8" w:color="auto"/>
            </w:tcBorders>
            <w:shd w:val="clear" w:color="auto" w:fill="ECECEC"/>
          </w:tcPr>
          <w:p>
            <w:pPr>
              <w:spacing w:after="0"/>
              <w:rPr>
                <w:sz w:val="24"/>
                <w:szCs w:val="24"/>
                <w:color w:val="auto"/>
              </w:rPr>
            </w:pPr>
          </w:p>
        </w:tc>
        <w:tc>
          <w:tcPr>
            <w:tcW w:w="1440" w:type="dxa"/>
            <w:vAlign w:val="bottom"/>
            <w:tcBorders>
              <w:bottom w:val="single" w:sz="8" w:color="auto"/>
            </w:tcBorders>
            <w:shd w:val="clear" w:color="auto" w:fill="ECECEC"/>
          </w:tcPr>
          <w:p>
            <w:pPr>
              <w:spacing w:after="0"/>
              <w:rPr>
                <w:sz w:val="24"/>
                <w:szCs w:val="24"/>
                <w:color w:val="auto"/>
              </w:rPr>
            </w:pPr>
          </w:p>
        </w:tc>
        <w:tc>
          <w:tcPr>
            <w:tcW w:w="1260" w:type="dxa"/>
            <w:vAlign w:val="bottom"/>
            <w:tcBorders>
              <w:bottom w:val="single" w:sz="8" w:color="auto"/>
              <w:right w:val="single" w:sz="8" w:color="ECECEC"/>
            </w:tcBorders>
            <w:shd w:val="clear" w:color="auto" w:fill="ECECEC"/>
          </w:tcPr>
          <w:p>
            <w:pPr>
              <w:spacing w:after="0"/>
              <w:rPr>
                <w:sz w:val="24"/>
                <w:szCs w:val="24"/>
                <w:color w:val="auto"/>
              </w:rPr>
            </w:pPr>
          </w:p>
        </w:tc>
        <w:tc>
          <w:tcPr>
            <w:tcW w:w="760" w:type="dxa"/>
            <w:vAlign w:val="bottom"/>
            <w:tcBorders>
              <w:bottom w:val="single" w:sz="8" w:color="auto"/>
            </w:tcBorders>
            <w:shd w:val="clear" w:color="auto" w:fill="ECECEC"/>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00" w:type="dxa"/>
            <w:vAlign w:val="bottom"/>
            <w:tcBorders>
              <w:bottom w:val="single" w:sz="8" w:color="auto"/>
            </w:tcBorders>
            <w:shd w:val="clear" w:color="auto" w:fill="ECECEC"/>
          </w:tcPr>
          <w:p>
            <w:pPr>
              <w:spacing w:after="0"/>
              <w:rPr>
                <w:sz w:val="20"/>
                <w:szCs w:val="20"/>
                <w:color w:val="auto"/>
              </w:rPr>
            </w:pPr>
          </w:p>
        </w:tc>
        <w:tc>
          <w:tcPr>
            <w:tcW w:w="960" w:type="dxa"/>
            <w:vAlign w:val="bottom"/>
            <w:tcBorders>
              <w:bottom w:val="single" w:sz="8" w:color="auto"/>
            </w:tcBorders>
            <w:shd w:val="clear" w:color="auto" w:fill="ECECEC"/>
          </w:tcPr>
          <w:p>
            <w:pPr>
              <w:spacing w:after="0"/>
              <w:rPr>
                <w:sz w:val="20"/>
                <w:szCs w:val="20"/>
                <w:color w:val="auto"/>
              </w:rPr>
            </w:pPr>
          </w:p>
        </w:tc>
        <w:tc>
          <w:tcPr>
            <w:tcW w:w="11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35,766</w:t>
            </w:r>
          </w:p>
        </w:tc>
        <w:tc>
          <w:tcPr>
            <w:tcW w:w="11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120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286</w:t>
            </w:r>
          </w:p>
        </w:tc>
        <w:tc>
          <w:tcPr>
            <w:tcW w:w="144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1,560</w:t>
            </w:r>
          </w:p>
        </w:tc>
        <w:tc>
          <w:tcPr>
            <w:tcW w:w="1260" w:type="dxa"/>
            <w:vAlign w:val="bottom"/>
            <w:tcBorders>
              <w:bottom w:val="single" w:sz="8" w:color="auto"/>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264</w:t>
            </w:r>
          </w:p>
        </w:tc>
        <w:tc>
          <w:tcPr>
            <w:tcW w:w="7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39,676</w:t>
            </w:r>
          </w:p>
        </w:tc>
        <w:tc>
          <w:tcPr>
            <w:tcW w:w="0" w:type="dxa"/>
            <w:vAlign w:val="bottom"/>
          </w:tcPr>
          <w:p>
            <w:pPr>
              <w:spacing w:after="0"/>
              <w:rPr>
                <w:sz w:val="1"/>
                <w:szCs w:val="1"/>
                <w:color w:val="auto"/>
              </w:rPr>
            </w:pPr>
          </w:p>
        </w:tc>
      </w:tr>
      <w:tr>
        <w:trPr>
          <w:trHeight w:val="210"/>
        </w:trPr>
        <w:tc>
          <w:tcPr>
            <w:tcW w:w="324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ECECEC"/>
          </w:tcPr>
          <w:p>
            <w:pPr>
              <w:spacing w:after="0"/>
              <w:rPr>
                <w:sz w:val="18"/>
                <w:szCs w:val="18"/>
                <w:color w:val="auto"/>
              </w:rPr>
            </w:pPr>
          </w:p>
        </w:tc>
        <w:tc>
          <w:tcPr>
            <w:tcW w:w="960" w:type="dxa"/>
            <w:vAlign w:val="bottom"/>
            <w:shd w:val="clear" w:color="auto" w:fill="ECECEC"/>
          </w:tcPr>
          <w:p>
            <w:pPr>
              <w:spacing w:after="0"/>
              <w:rPr>
                <w:sz w:val="18"/>
                <w:szCs w:val="18"/>
                <w:color w:val="auto"/>
              </w:rPr>
            </w:pPr>
          </w:p>
        </w:tc>
        <w:tc>
          <w:tcPr>
            <w:tcW w:w="11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47,091</w:t>
            </w:r>
          </w:p>
        </w:tc>
        <w:tc>
          <w:tcPr>
            <w:tcW w:w="10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w:t>
            </w:r>
          </w:p>
        </w:tc>
        <w:tc>
          <w:tcPr>
            <w:tcW w:w="1440" w:type="dxa"/>
            <w:vAlign w:val="bottom"/>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1,255</w:t>
            </w:r>
          </w:p>
        </w:tc>
        <w:tc>
          <w:tcPr>
            <w:tcW w:w="1260" w:type="dxa"/>
            <w:vAlign w:val="bottom"/>
            <w:tcBorders>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77</w:t>
            </w:r>
          </w:p>
        </w:tc>
        <w:tc>
          <w:tcPr>
            <w:tcW w:w="7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48,566</w:t>
            </w:r>
          </w:p>
        </w:tc>
        <w:tc>
          <w:tcPr>
            <w:tcW w:w="0" w:type="dxa"/>
            <w:vAlign w:val="bottom"/>
          </w:tcPr>
          <w:p>
            <w:pPr>
              <w:spacing w:after="0"/>
              <w:rPr>
                <w:sz w:val="1"/>
                <w:szCs w:val="1"/>
                <w:color w:val="auto"/>
              </w:rPr>
            </w:pPr>
          </w:p>
        </w:tc>
      </w:tr>
      <w:tr>
        <w:trPr>
          <w:trHeight w:val="216"/>
        </w:trPr>
        <w:tc>
          <w:tcPr>
            <w:tcW w:w="324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Dispositions during the period</w:t>
            </w:r>
          </w:p>
        </w:tc>
        <w:tc>
          <w:tcPr>
            <w:tcW w:w="100" w:type="dxa"/>
            <w:vAlign w:val="bottom"/>
            <w:shd w:val="clear" w:color="auto" w:fill="ECECEC"/>
          </w:tcPr>
          <w:p>
            <w:pPr>
              <w:spacing w:after="0"/>
              <w:rPr>
                <w:sz w:val="18"/>
                <w:szCs w:val="18"/>
                <w:color w:val="auto"/>
              </w:rPr>
            </w:pPr>
          </w:p>
        </w:tc>
        <w:tc>
          <w:tcPr>
            <w:tcW w:w="960" w:type="dxa"/>
            <w:vAlign w:val="bottom"/>
            <w:shd w:val="clear" w:color="auto" w:fill="ECECEC"/>
          </w:tcPr>
          <w:p>
            <w:pPr>
              <w:spacing w:after="0"/>
              <w:rPr>
                <w:sz w:val="18"/>
                <w:szCs w:val="18"/>
                <w:color w:val="auto"/>
              </w:rPr>
            </w:pPr>
          </w:p>
        </w:tc>
        <w:tc>
          <w:tcPr>
            <w:tcW w:w="11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(1,821)</w:t>
            </w:r>
          </w:p>
        </w:tc>
        <w:tc>
          <w:tcPr>
            <w:tcW w:w="10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(1,821)</w:t>
            </w:r>
          </w:p>
        </w:tc>
        <w:tc>
          <w:tcPr>
            <w:tcW w:w="0" w:type="dxa"/>
            <w:vAlign w:val="bottom"/>
          </w:tcPr>
          <w:p>
            <w:pPr>
              <w:spacing w:after="0"/>
              <w:rPr>
                <w:sz w:val="1"/>
                <w:szCs w:val="1"/>
                <w:color w:val="auto"/>
              </w:rPr>
            </w:pPr>
          </w:p>
        </w:tc>
      </w:tr>
      <w:tr>
        <w:trPr>
          <w:trHeight w:val="216"/>
        </w:trPr>
        <w:tc>
          <w:tcPr>
            <w:tcW w:w="324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0" w:type="dxa"/>
            <w:vAlign w:val="bottom"/>
            <w:shd w:val="clear" w:color="auto" w:fill="ECECEC"/>
          </w:tcPr>
          <w:p>
            <w:pPr>
              <w:spacing w:after="0"/>
              <w:rPr>
                <w:sz w:val="18"/>
                <w:szCs w:val="18"/>
                <w:color w:val="auto"/>
              </w:rPr>
            </w:pPr>
          </w:p>
        </w:tc>
        <w:tc>
          <w:tcPr>
            <w:tcW w:w="960" w:type="dxa"/>
            <w:vAlign w:val="bottom"/>
            <w:shd w:val="clear" w:color="auto" w:fill="ECECEC"/>
          </w:tcPr>
          <w:p>
            <w:pPr>
              <w:spacing w:after="0"/>
              <w:rPr>
                <w:sz w:val="18"/>
                <w:szCs w:val="18"/>
                <w:color w:val="auto"/>
              </w:rPr>
            </w:pPr>
          </w:p>
        </w:tc>
        <w:tc>
          <w:tcPr>
            <w:tcW w:w="11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(6,040)</w:t>
            </w:r>
          </w:p>
        </w:tc>
        <w:tc>
          <w:tcPr>
            <w:tcW w:w="100" w:type="dxa"/>
            <w:vAlign w:val="bottom"/>
            <w:shd w:val="clear" w:color="auto" w:fill="ECECEC"/>
          </w:tcPr>
          <w:p>
            <w:pPr>
              <w:spacing w:after="0"/>
              <w:rPr>
                <w:sz w:val="18"/>
                <w:szCs w:val="18"/>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(6,040)</w:t>
            </w: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Impairment</w:t>
            </w:r>
          </w:p>
        </w:tc>
        <w:tc>
          <w:tcPr>
            <w:tcW w:w="100" w:type="dxa"/>
            <w:vAlign w:val="bottom"/>
            <w:tcBorders>
              <w:bottom w:val="single" w:sz="8" w:color="auto"/>
            </w:tcBorders>
            <w:shd w:val="clear" w:color="auto" w:fill="ECECEC"/>
          </w:tcPr>
          <w:p>
            <w:pPr>
              <w:spacing w:after="0"/>
              <w:rPr>
                <w:sz w:val="21"/>
                <w:szCs w:val="21"/>
                <w:color w:val="auto"/>
              </w:rPr>
            </w:pPr>
          </w:p>
        </w:tc>
        <w:tc>
          <w:tcPr>
            <w:tcW w:w="960" w:type="dxa"/>
            <w:vAlign w:val="bottom"/>
            <w:tcBorders>
              <w:bottom w:val="single" w:sz="8" w:color="auto"/>
            </w:tcBorders>
            <w:shd w:val="clear" w:color="auto" w:fill="ECECEC"/>
          </w:tcPr>
          <w:p>
            <w:pPr>
              <w:spacing w:after="0"/>
              <w:rPr>
                <w:sz w:val="21"/>
                <w:szCs w:val="21"/>
                <w:color w:val="auto"/>
              </w:rPr>
            </w:pPr>
          </w:p>
        </w:tc>
        <w:tc>
          <w:tcPr>
            <w:tcW w:w="11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17,505</w:t>
            </w:r>
          </w:p>
        </w:tc>
        <w:tc>
          <w:tcPr>
            <w:tcW w:w="10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4,200</w:t>
            </w:r>
          </w:p>
        </w:tc>
        <w:tc>
          <w:tcPr>
            <w:tcW w:w="120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11,361</w:t>
            </w:r>
          </w:p>
        </w:tc>
        <w:tc>
          <w:tcPr>
            <w:tcW w:w="1260" w:type="dxa"/>
            <w:vAlign w:val="bottom"/>
            <w:tcBorders>
              <w:bottom w:val="single" w:sz="8" w:color="auto"/>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105</w:t>
            </w:r>
          </w:p>
        </w:tc>
        <w:tc>
          <w:tcPr>
            <w:tcW w:w="7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33,171</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00" w:type="dxa"/>
            <w:vAlign w:val="bottom"/>
            <w:tcBorders>
              <w:bottom w:val="single" w:sz="8" w:color="auto"/>
            </w:tcBorders>
            <w:shd w:val="clear" w:color="auto" w:fill="ECECEC"/>
          </w:tcPr>
          <w:p>
            <w:pPr>
              <w:spacing w:after="0"/>
              <w:rPr>
                <w:sz w:val="20"/>
                <w:szCs w:val="20"/>
                <w:color w:val="auto"/>
              </w:rPr>
            </w:pPr>
          </w:p>
        </w:tc>
        <w:tc>
          <w:tcPr>
            <w:tcW w:w="960" w:type="dxa"/>
            <w:vAlign w:val="bottom"/>
            <w:tcBorders>
              <w:bottom w:val="single" w:sz="8" w:color="auto"/>
            </w:tcBorders>
            <w:shd w:val="clear" w:color="auto" w:fill="ECECEC"/>
          </w:tcPr>
          <w:p>
            <w:pPr>
              <w:spacing w:after="0"/>
              <w:rPr>
                <w:sz w:val="20"/>
                <w:szCs w:val="20"/>
                <w:color w:val="auto"/>
              </w:rPr>
            </w:pPr>
          </w:p>
        </w:tc>
        <w:tc>
          <w:tcPr>
            <w:tcW w:w="11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92,501</w:t>
            </w:r>
          </w:p>
        </w:tc>
        <w:tc>
          <w:tcPr>
            <w:tcW w:w="10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6,000</w:t>
            </w:r>
          </w:p>
        </w:tc>
        <w:tc>
          <w:tcPr>
            <w:tcW w:w="120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429</w:t>
            </w:r>
          </w:p>
        </w:tc>
        <w:tc>
          <w:tcPr>
            <w:tcW w:w="144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14,176</w:t>
            </w:r>
          </w:p>
        </w:tc>
        <w:tc>
          <w:tcPr>
            <w:tcW w:w="1260" w:type="dxa"/>
            <w:vAlign w:val="bottom"/>
            <w:tcBorders>
              <w:bottom w:val="single" w:sz="8" w:color="auto"/>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446</w:t>
            </w:r>
          </w:p>
        </w:tc>
        <w:tc>
          <w:tcPr>
            <w:tcW w:w="7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113,552</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shd w:val="clear" w:color="auto" w:fill="ECECEC"/>
          </w:tcPr>
          <w:p>
            <w:pPr>
              <w:spacing w:after="0"/>
              <w:rPr>
                <w:sz w:val="20"/>
                <w:szCs w:val="20"/>
                <w:color w:val="auto"/>
              </w:rPr>
            </w:pPr>
          </w:p>
        </w:tc>
        <w:tc>
          <w:tcPr>
            <w:tcW w:w="100" w:type="dxa"/>
            <w:vAlign w:val="bottom"/>
            <w:tcBorders>
              <w:bottom w:val="single" w:sz="8" w:color="auto"/>
            </w:tcBorders>
            <w:shd w:val="clear" w:color="auto" w:fill="ECECEC"/>
          </w:tcPr>
          <w:p>
            <w:pPr>
              <w:spacing w:after="0"/>
              <w:rPr>
                <w:sz w:val="20"/>
                <w:szCs w:val="20"/>
                <w:color w:val="auto"/>
              </w:rPr>
            </w:pPr>
          </w:p>
        </w:tc>
        <w:tc>
          <w:tcPr>
            <w:tcW w:w="960" w:type="dxa"/>
            <w:vAlign w:val="bottom"/>
            <w:tcBorders>
              <w:bottom w:val="single" w:sz="8" w:color="auto"/>
            </w:tcBorders>
            <w:shd w:val="clear" w:color="auto" w:fill="ECECEC"/>
          </w:tcPr>
          <w:p>
            <w:pPr>
              <w:spacing w:after="0"/>
              <w:rPr>
                <w:sz w:val="20"/>
                <w:szCs w:val="20"/>
                <w:color w:val="auto"/>
              </w:rPr>
            </w:pPr>
          </w:p>
        </w:tc>
        <w:tc>
          <w:tcPr>
            <w:tcW w:w="1180" w:type="dxa"/>
            <w:vAlign w:val="bottom"/>
            <w:tcBorders>
              <w:bottom w:val="single" w:sz="8" w:color="auto"/>
            </w:tcBorders>
            <w:shd w:val="clear" w:color="auto" w:fill="ECECEC"/>
          </w:tcPr>
          <w:p>
            <w:pPr>
              <w:spacing w:after="0"/>
              <w:rPr>
                <w:sz w:val="20"/>
                <w:szCs w:val="20"/>
                <w:color w:val="auto"/>
              </w:rPr>
            </w:pPr>
          </w:p>
        </w:tc>
        <w:tc>
          <w:tcPr>
            <w:tcW w:w="100" w:type="dxa"/>
            <w:vAlign w:val="bottom"/>
            <w:tcBorders>
              <w:bottom w:val="single" w:sz="8" w:color="auto"/>
            </w:tcBorders>
            <w:shd w:val="clear" w:color="auto" w:fill="ECECEC"/>
          </w:tcPr>
          <w:p>
            <w:pPr>
              <w:spacing w:after="0"/>
              <w:rPr>
                <w:sz w:val="20"/>
                <w:szCs w:val="20"/>
                <w:color w:val="auto"/>
              </w:rPr>
            </w:pPr>
          </w:p>
        </w:tc>
        <w:tc>
          <w:tcPr>
            <w:tcW w:w="1000" w:type="dxa"/>
            <w:vAlign w:val="bottom"/>
            <w:tcBorders>
              <w:bottom w:val="single" w:sz="8" w:color="auto"/>
            </w:tcBorders>
            <w:shd w:val="clear" w:color="auto" w:fill="ECECEC"/>
          </w:tcPr>
          <w:p>
            <w:pPr>
              <w:spacing w:after="0"/>
              <w:rPr>
                <w:sz w:val="20"/>
                <w:szCs w:val="20"/>
                <w:color w:val="auto"/>
              </w:rPr>
            </w:pPr>
          </w:p>
        </w:tc>
        <w:tc>
          <w:tcPr>
            <w:tcW w:w="1200" w:type="dxa"/>
            <w:vAlign w:val="bottom"/>
            <w:tcBorders>
              <w:bottom w:val="single" w:sz="8" w:color="auto"/>
            </w:tcBorders>
            <w:shd w:val="clear" w:color="auto" w:fill="ECECEC"/>
          </w:tcPr>
          <w:p>
            <w:pPr>
              <w:spacing w:after="0"/>
              <w:rPr>
                <w:sz w:val="20"/>
                <w:szCs w:val="20"/>
                <w:color w:val="auto"/>
              </w:rPr>
            </w:pPr>
          </w:p>
        </w:tc>
        <w:tc>
          <w:tcPr>
            <w:tcW w:w="1440" w:type="dxa"/>
            <w:vAlign w:val="bottom"/>
            <w:tcBorders>
              <w:bottom w:val="single" w:sz="8" w:color="auto"/>
            </w:tcBorders>
            <w:shd w:val="clear" w:color="auto" w:fill="ECECEC"/>
          </w:tcPr>
          <w:p>
            <w:pPr>
              <w:spacing w:after="0"/>
              <w:rPr>
                <w:sz w:val="20"/>
                <w:szCs w:val="20"/>
                <w:color w:val="auto"/>
              </w:rPr>
            </w:pPr>
          </w:p>
        </w:tc>
        <w:tc>
          <w:tcPr>
            <w:tcW w:w="1260" w:type="dxa"/>
            <w:vAlign w:val="bottom"/>
            <w:tcBorders>
              <w:bottom w:val="single" w:sz="8" w:color="auto"/>
              <w:right w:val="single" w:sz="8" w:color="ECECEC"/>
            </w:tcBorders>
            <w:shd w:val="clear" w:color="auto" w:fill="ECECEC"/>
          </w:tcPr>
          <w:p>
            <w:pPr>
              <w:spacing w:after="0"/>
              <w:rPr>
                <w:sz w:val="20"/>
                <w:szCs w:val="20"/>
                <w:color w:val="auto"/>
              </w:rPr>
            </w:pPr>
          </w:p>
        </w:tc>
        <w:tc>
          <w:tcPr>
            <w:tcW w:w="760" w:type="dxa"/>
            <w:vAlign w:val="bottom"/>
            <w:tcBorders>
              <w:bottom w:val="single" w:sz="8" w:color="auto"/>
            </w:tcBorders>
            <w:shd w:val="clear" w:color="auto" w:fill="ECECE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4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Net book value as of September 30, 2022</w:t>
            </w:r>
          </w:p>
        </w:tc>
        <w:tc>
          <w:tcPr>
            <w:tcW w:w="100" w:type="dxa"/>
            <w:vAlign w:val="bottom"/>
            <w:tcBorders>
              <w:bottom w:val="single" w:sz="8" w:color="auto"/>
            </w:tcBorders>
            <w:shd w:val="clear" w:color="auto" w:fill="ECECEC"/>
          </w:tcPr>
          <w:p>
            <w:pPr>
              <w:spacing w:after="0"/>
              <w:rPr>
                <w:sz w:val="21"/>
                <w:szCs w:val="21"/>
                <w:color w:val="auto"/>
              </w:rPr>
            </w:pPr>
          </w:p>
        </w:tc>
        <w:tc>
          <w:tcPr>
            <w:tcW w:w="960" w:type="dxa"/>
            <w:vAlign w:val="bottom"/>
            <w:tcBorders>
              <w:bottom w:val="single" w:sz="8" w:color="auto"/>
            </w:tcBorders>
            <w:shd w:val="clear" w:color="auto" w:fill="ECECEC"/>
          </w:tcPr>
          <w:p>
            <w:pPr>
              <w:spacing w:after="0"/>
              <w:rPr>
                <w:sz w:val="21"/>
                <w:szCs w:val="21"/>
                <w:color w:val="auto"/>
              </w:rPr>
            </w:pPr>
          </w:p>
        </w:tc>
        <w:tc>
          <w:tcPr>
            <w:tcW w:w="11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194,454</w:t>
            </w:r>
          </w:p>
        </w:tc>
        <w:tc>
          <w:tcPr>
            <w:tcW w:w="10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3,000</w:t>
            </w:r>
          </w:p>
        </w:tc>
        <w:tc>
          <w:tcPr>
            <w:tcW w:w="120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6,436</w:t>
            </w:r>
          </w:p>
        </w:tc>
        <w:tc>
          <w:tcPr>
            <w:tcW w:w="144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15,866</w:t>
            </w:r>
          </w:p>
        </w:tc>
        <w:tc>
          <w:tcPr>
            <w:tcW w:w="1260" w:type="dxa"/>
            <w:vAlign w:val="bottom"/>
            <w:tcBorders>
              <w:bottom w:val="single" w:sz="8" w:color="auto"/>
              <w:right w:val="single" w:sz="8" w:color="ECECEC"/>
            </w:tcBorders>
            <w:shd w:val="clear" w:color="auto" w:fill="ECECE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373</w:t>
            </w:r>
          </w:p>
        </w:tc>
        <w:tc>
          <w:tcPr>
            <w:tcW w:w="7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220,129</w:t>
            </w:r>
          </w:p>
        </w:tc>
        <w:tc>
          <w:tcPr>
            <w:tcW w:w="0" w:type="dxa"/>
            <w:vAlign w:val="bottom"/>
          </w:tcPr>
          <w:p>
            <w:pPr>
              <w:spacing w:after="0"/>
              <w:rPr>
                <w:sz w:val="1"/>
                <w:szCs w:val="1"/>
                <w:color w:val="auto"/>
              </w:rPr>
            </w:pPr>
          </w:p>
        </w:tc>
      </w:tr>
      <w:tr>
        <w:trPr>
          <w:trHeight w:val="410"/>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BVVE and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electrical</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Mineral</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Land and</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Leasehold</w:t>
            </w: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components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buildings</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improvements</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52,676</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3,263</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2,707</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448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68,094</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Additions through business combination</w:t>
            </w:r>
          </w:p>
        </w:tc>
        <w:tc>
          <w:tcPr>
            <w:tcW w:w="10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3</w:t>
            </w: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7,081</w:t>
            </w:r>
          </w:p>
        </w:tc>
        <w:tc>
          <w:tcPr>
            <w:tcW w:w="10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840</w:t>
            </w:r>
          </w:p>
        </w:tc>
        <w:tc>
          <w:tcPr>
            <w:tcW w:w="14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7,921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114,323</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470</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3,265</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136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118,194</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 during the period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261"/>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(11,287)</w:t>
            </w: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156,647</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4,549</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5,783</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547</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176,526</w:t>
            </w:r>
          </w:p>
        </w:tc>
        <w:tc>
          <w:tcPr>
            <w:tcW w:w="0" w:type="dxa"/>
            <w:vAlign w:val="bottom"/>
          </w:tcPr>
          <w:p>
            <w:pPr>
              <w:spacing w:after="0"/>
              <w:rPr>
                <w:sz w:val="1"/>
                <w:szCs w:val="1"/>
                <w:color w:val="auto"/>
              </w:rPr>
            </w:pPr>
          </w:p>
        </w:tc>
      </w:tr>
      <w:tr>
        <w:trPr>
          <w:trHeight w:val="453"/>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30,042</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185</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1,861</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213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32,301</w:t>
            </w:r>
          </w:p>
        </w:tc>
        <w:tc>
          <w:tcPr>
            <w:tcW w:w="0" w:type="dxa"/>
            <w:vAlign w:val="bottom"/>
          </w:tcPr>
          <w:p>
            <w:pPr>
              <w:spacing w:after="0"/>
              <w:rPr>
                <w:sz w:val="1"/>
                <w:szCs w:val="1"/>
                <w:color w:val="auto"/>
              </w:rPr>
            </w:pPr>
          </w:p>
        </w:tc>
      </w:tr>
      <w:tr>
        <w:trPr>
          <w:trHeight w:val="191"/>
        </w:trPr>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22,233</w:t>
            </w:r>
          </w:p>
        </w:tc>
        <w:tc>
          <w:tcPr>
            <w:tcW w:w="100" w:type="dxa"/>
            <w:vAlign w:val="bottom"/>
          </w:tcPr>
          <w:p>
            <w:pPr>
              <w:spacing w:after="0"/>
              <w:rPr>
                <w:sz w:val="16"/>
                <w:szCs w:val="16"/>
                <w:color w:val="auto"/>
              </w:rPr>
            </w:pP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104</w:t>
            </w:r>
          </w:p>
        </w:tc>
        <w:tc>
          <w:tcPr>
            <w:tcW w:w="14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396</w:t>
            </w:r>
          </w:p>
        </w:tc>
        <w:tc>
          <w:tcPr>
            <w:tcW w:w="1260" w:type="dxa"/>
            <w:vAlign w:val="bottom"/>
          </w:tcPr>
          <w:p>
            <w:pPr>
              <w:jc w:val="right"/>
              <w:ind w:right="330"/>
              <w:spacing w:after="0" w:line="191" w:lineRule="exact"/>
              <w:rPr>
                <w:sz w:val="20"/>
                <w:szCs w:val="20"/>
                <w:color w:val="auto"/>
              </w:rPr>
            </w:pPr>
            <w:r>
              <w:rPr>
                <w:rFonts w:ascii="Times New Roman" w:cs="Times New Roman" w:eastAsia="Times New Roman" w:hAnsi="Times New Roman"/>
                <w:sz w:val="18"/>
                <w:szCs w:val="18"/>
                <w:color w:val="auto"/>
              </w:rPr>
              <w:t>79</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22,812</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Dispositions during the period</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12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(5,351)</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Transfer to assets held for sale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Impairment</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61"/>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Impairment reversal</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(549)</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0" w:type="dxa"/>
            <w:vAlign w:val="bottom"/>
          </w:tcPr>
          <w:p>
            <w:pPr>
              <w:spacing w:after="0"/>
              <w:rPr>
                <w:sz w:val="1"/>
                <w:szCs w:val="1"/>
                <w:color w:val="auto"/>
              </w:rPr>
            </w:pPr>
          </w:p>
        </w:tc>
      </w:tr>
      <w:tr>
        <w:trPr>
          <w:trHeight w:val="236"/>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35,766</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286</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1,560</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264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39,676</w:t>
            </w:r>
          </w:p>
        </w:tc>
        <w:tc>
          <w:tcPr>
            <w:tcW w:w="0" w:type="dxa"/>
            <w:vAlign w:val="bottom"/>
          </w:tcPr>
          <w:p>
            <w:pPr>
              <w:spacing w:after="0"/>
              <w:rPr>
                <w:sz w:val="1"/>
                <w:szCs w:val="1"/>
                <w:color w:val="auto"/>
              </w:rPr>
            </w:pPr>
          </w:p>
        </w:tc>
      </w:tr>
      <w:tr>
        <w:trPr>
          <w:trHeight w:val="244"/>
        </w:trPr>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2021</w:t>
            </w: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120,881</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4,263</w:t>
            </w:r>
          </w:p>
        </w:tc>
        <w:tc>
          <w:tcPr>
            <w:tcW w:w="1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4,223</w:t>
            </w:r>
          </w:p>
        </w:tc>
        <w:tc>
          <w:tcPr>
            <w:tcW w:w="12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283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136,850</w:t>
            </w:r>
          </w:p>
        </w:tc>
        <w:tc>
          <w:tcPr>
            <w:tcW w:w="0" w:type="dxa"/>
            <w:vAlign w:val="bottom"/>
          </w:tcPr>
          <w:p>
            <w:pPr>
              <w:spacing w:after="0"/>
              <w:rPr>
                <w:sz w:val="1"/>
                <w:szCs w:val="1"/>
                <w:color w:val="auto"/>
              </w:rPr>
            </w:pPr>
          </w:p>
        </w:tc>
      </w:tr>
      <w:tr>
        <w:trPr>
          <w:trHeight w:val="439"/>
        </w:trPr>
        <w:tc>
          <w:tcPr>
            <w:tcW w:w="3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6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held for sale</w:t>
      </w:r>
    </w:p>
    <w:p>
      <w:pPr>
        <w:spacing w:after="0" w:line="229"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ceased using its Antminer S9 miners and planned to dispose of them within the next 12 months. During the nine months ended September 30, 2022, 3,982 Antminer S9 miners with a carrying amount of $779 were disposed for net proceeds of $101 resulting in a loss of $678. The remaining Antminer S9 miners were not sold within 12 months since being classified as held for sale in 2021 due to the decline of the BTC price during the nine months ended September 30, 2022. As a result, these miners were written off and an impairment loss of $432 was recognized in profit or loss under Impairment on equipment and construction prepayments, property, plant and equipment and right-of-use assets.</w:t>
      </w:r>
    </w:p>
    <w:p>
      <w:pPr>
        <w:spacing w:after="0" w:line="183"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ceased using Innosilicon T2T miners, Canaan Avalon A10 miners, Antminer T15 miners and Antminer S15 miners with plans to dispose of them within the next 12 months. During the three and nine months ended September 30, 2022, 207 Antminer T15 miners with a carrying amount of $22 were disposed for net proceeds of $31 resulting in a gain of $9. Management determined that the remaining Innosilicon T2T miners, Canaan Avalon A10 miners, Antminer T15 miners and Antminer S15 miners continue to meet the criteria to be classified as held for sale as at September 30, 2022.</w:t>
      </w:r>
    </w:p>
    <w:p>
      <w:pPr>
        <w:spacing w:after="0" w:line="183" w:lineRule="exact"/>
        <w:rPr>
          <w:sz w:val="20"/>
          <w:szCs w:val="20"/>
          <w:color w:val="auto"/>
        </w:rPr>
      </w:pPr>
    </w:p>
    <w:p>
      <w:pPr>
        <w:jc w:val="both"/>
        <w:ind w:left="20" w:hanging="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ceased using 840 M20s Whatsminer miners with a carrying amount of $475 and disposed of them for net proceeds of $820 resulting in a gain of $345. In addition, during the three and nine months ended September 30, 2022, the Company ceased using its remaining M20s Whatsminer miners and has plans to dispose of them within the next 12 months. Management has determined that these miners meet the criteria to be classified as held for sale and determined that the carrying amount was less than their estimated fair value less costs to sell.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testing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at September 30, 2022, as a result of the decline in the BTC price during the three and nine-month periods, the Company performed an evaluation of the recoverable amount of the assets for operating the cryptocurrency mining facilities in Quebec, Washington state and Argentina separately. As the group of assets for each CGU do not generate cash inflows that are independent of each other, the recoverable amount was calculated for each CGU comprised of the property, plant and equipment, right-of-use assets, long-term electricity deposits, long-term construction and equipment prepayments and favourable lease used in the operating cryptocurrency mining facilities in Quebec, Washington state and Argentina.</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its calculation, the Company determined that an impairment charge should only be recorded on its operating Argentina cryptocurrency mining CGU in the amount of $79,484 during the three and nine months ended September 30, 2022, of which $48,865 was allocated to equipment and construction prepayments, $1,648 to right-of-use assets and $28,971 to property, plant and equipment. The impairment loss was recognized in profit or loss under Impairment on equipment and construction prepayments, property, plant and equipment and right-of-use assets. The value in use of the Quebec, Washington state and Argentina operating CGUs were determined based on the present value of the expected cash flows over five-year, four-year and five-year periods, respectively, discounted at annual pre-tax rates of 29.00%, 29.75% and 38.25%, respectively, in varying scenarios.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key assumptions used in the value in use calculation are as follows:</w:t>
      </w:r>
    </w:p>
    <w:p>
      <w:pPr>
        <w:spacing w:after="0" w:line="225"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u w:val="single" w:color="auto"/>
          <w:color w:val="auto"/>
        </w:rPr>
        <w:t>Revenues</w:t>
      </w:r>
      <w:r>
        <w:rPr>
          <w:rFonts w:ascii="Times New Roman" w:cs="Times New Roman" w:eastAsia="Times New Roman" w:hAnsi="Times New Roman"/>
          <w:sz w:val="18"/>
          <w:szCs w:val="18"/>
          <w:color w:val="auto"/>
        </w:rPr>
        <w:t xml:space="preserve"> – Two optimistic and two pessimistic scenarios and one status quo scenario, each with an estimated future BTC price and network difficulty, were used to project revenues and associated cash flows from cryptocurrency mining. Management assigned probabilities to each scenario to calculate weighted average expected outcomes. The weighted average daily revenue per Terahash used in the value in use calculation was $0.12/Terahash.</w:t>
      </w:r>
    </w:p>
    <w:p>
      <w:pPr>
        <w:spacing w:after="0" w:line="17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u w:val="single" w:color="auto"/>
          <w:color w:val="auto"/>
        </w:rPr>
        <w:t>Discount rate</w:t>
      </w:r>
      <w:r>
        <w:rPr>
          <w:rFonts w:ascii="Times New Roman" w:cs="Times New Roman" w:eastAsia="Times New Roman" w:hAnsi="Times New Roman"/>
          <w:sz w:val="18"/>
          <w:szCs w:val="18"/>
          <w:color w:val="auto"/>
        </w:rPr>
        <w:t xml:space="preserve"> – The discount rate reflects management’s assumptions regarding the unit’s specific risk. For the Quebec, Washington state and Argentina operating cryptocurrency mining CGUs, the discount pre-tax rates used were estimated at 29.00%, 29.75% and 38.25%, respectively, with some of the risk already being implicitly reflected through management’s allocation of probabilities to the various scenarios included in the revenue calculation.</w:t>
      </w:r>
    </w:p>
    <w:p>
      <w:pPr>
        <w:spacing w:after="0" w:line="176"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u w:val="single" w:color="auto"/>
          <w:color w:val="auto"/>
        </w:rPr>
        <w:t>Energy prices</w:t>
      </w:r>
      <w:r>
        <w:rPr>
          <w:rFonts w:ascii="Times New Roman" w:cs="Times New Roman" w:eastAsia="Times New Roman" w:hAnsi="Times New Roman"/>
          <w:sz w:val="18"/>
          <w:szCs w:val="18"/>
          <w:color w:val="auto"/>
        </w:rPr>
        <w:t xml:space="preserve"> – Management estimates that energy prices for the duration of the forecasted years will be approximately $0.046, $0.027 and $0.030 per kilowatt hour, for the Quebec, Washington state and Argentina operating cryptocurrency mining CGUs, respectively.</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Changes in BTC price and BTC network difficulty that can lead to changes in expected revenues were considered in the various scenarios listed above.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Quebec cryptocurrency mining CGU, management conducted a sensitivity analysis and determined that a reasonably possible change in any of the key assumptions would not result in an impairment charge.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Washington state cryptocurrency mining CGU, a 2% decrease in revenues would result in the recoverable amount being equal to the carrying amount, and each additional decrease of 1% would result in an impairment charge of $518. A reasonably possible change in the discount rate would not result in an impairment charge.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sensitivity analysis was not performed for a change in energy prices for the Quebec and Washington state cryptocurrency mining CGUs as they are considered to be stable.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decrease of 1% in revenues, an increase of 1% in the discount rate or an increase of 1% in energy prices would result in further impairment on the operating Argentina cryptocurrency CGU by $1,031, $863 or $216,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 xml:space="preserve">PROPERTY, PLANT AND EQUIPMENT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Mineral Assets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reverse acquisition of Bitfarms Ltd (Israel), the Company engaged an independent appraiser to determine the fair value as at the acquisition date, April 12, 2018, of Suni, an iron ore deposit located in Canada held by the acquiree. The appraiser’s valuation report was based on the market comparison method and the analysis of similar assets. Following certain adjustments resulting from changes in the price of iron ore, among other variables, Suni’s value at April 12, 2018 was estimated at $9,000. Subsequently, it has been tested annually for impairment. An independent appraiser was engaged to determine Suni’s fair value as of September 30, 2022 due to the decline in the iron ore price during the three months ended September 30, 2022. Using the same method as the previous independent appraiser, the new appraiser determined that the fair value of Suni was $3,250, or $3,000 after reflecting estimated costs to sell, compared to $7,200 on December 31, 2021, which resulted in an impairment of $4,200 during the three and nine months ended September 30, 2022 to Suni’s mineral assets book value. The impairment loss was recognized in profit or loss under Impairment on equipment and construction prepayments, property, plant and equipment and right-of-use assets. The fair value measurement is categorized as level 2 in the fair value hierarchy. The Suni mineral asset was inactive during the reporting periods and as of the date of approval of the interim condensed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BVVE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details of the quantity and models of BVVE held by the Company are as follows :</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9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MicroBT</w:t>
            </w:r>
          </w:p>
        </w:tc>
        <w:tc>
          <w:tcPr>
            <w:tcW w:w="124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Innosilicon</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Canaan</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98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Whatsminer</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Bitmain</w:t>
            </w: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T3 &amp; T2T</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Avalon A10</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Antminers</w:t>
            </w:r>
          </w:p>
        </w:tc>
        <w:tc>
          <w:tcPr>
            <w:tcW w:w="980" w:type="dxa"/>
            <w:vAlign w:val="bottom"/>
          </w:tcPr>
          <w:p>
            <w:pPr>
              <w:spacing w:after="0"/>
              <w:rPr>
                <w:sz w:val="18"/>
                <w:szCs w:val="18"/>
                <w:color w:val="auto"/>
              </w:rPr>
            </w:pPr>
          </w:p>
        </w:tc>
      </w:tr>
      <w:tr>
        <w:trPr>
          <w:trHeight w:val="238"/>
        </w:trPr>
        <w:tc>
          <w:tcPr>
            <w:tcW w:w="31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(BTC)*</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S19j Pro</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(BTC)**</w:t>
            </w:r>
          </w:p>
        </w:tc>
        <w:tc>
          <w:tcPr>
            <w:tcW w:w="1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(BTC)</w:t>
            </w:r>
          </w:p>
        </w:tc>
        <w:tc>
          <w:tcPr>
            <w:tcW w:w="15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(BTC)***</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316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Quantity as of January 1, 2022</w:t>
            </w:r>
          </w:p>
        </w:tc>
        <w:tc>
          <w:tcPr>
            <w:tcW w:w="1640" w:type="dxa"/>
            <w:vAlign w:val="bottom"/>
            <w:tcBorders>
              <w:bottom w:val="single" w:sz="8" w:color="auto"/>
            </w:tcBorders>
            <w:shd w:val="clear" w:color="auto" w:fill="ECECE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18,675</w:t>
            </w:r>
          </w:p>
        </w:tc>
        <w:tc>
          <w:tcPr>
            <w:tcW w:w="1240" w:type="dxa"/>
            <w:vAlign w:val="bottom"/>
            <w:tcBorders>
              <w:bottom w:val="single" w:sz="8" w:color="auto"/>
            </w:tcBorders>
            <w:shd w:val="clear" w:color="auto" w:fill="ECECE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7,172</w:t>
            </w:r>
          </w:p>
        </w:tc>
        <w:tc>
          <w:tcPr>
            <w:tcW w:w="1340" w:type="dxa"/>
            <w:vAlign w:val="bottom"/>
            <w:tcBorders>
              <w:bottom w:val="single" w:sz="8" w:color="auto"/>
            </w:tcBorders>
            <w:shd w:val="clear" w:color="auto" w:fill="ECECE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6,446</w:t>
            </w:r>
          </w:p>
        </w:tc>
        <w:tc>
          <w:tcPr>
            <w:tcW w:w="138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1,024</w:t>
            </w:r>
          </w:p>
        </w:tc>
        <w:tc>
          <w:tcPr>
            <w:tcW w:w="1500" w:type="dxa"/>
            <w:vAlign w:val="bottom"/>
            <w:tcBorders>
              <w:bottom w:val="single" w:sz="8" w:color="auto"/>
            </w:tcBorders>
            <w:shd w:val="clear" w:color="auto" w:fill="ECECE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8,073</w:t>
            </w:r>
          </w:p>
        </w:tc>
        <w:tc>
          <w:tcPr>
            <w:tcW w:w="98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41,390</w:t>
            </w:r>
          </w:p>
        </w:tc>
      </w:tr>
      <w:tr>
        <w:trPr>
          <w:trHeight w:val="209"/>
        </w:trPr>
        <w:tc>
          <w:tcPr>
            <w:tcW w:w="316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640" w:type="dxa"/>
            <w:vAlign w:val="bottom"/>
            <w:shd w:val="clear" w:color="auto" w:fill="ECECE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25,451</w:t>
            </w:r>
          </w:p>
        </w:tc>
        <w:tc>
          <w:tcPr>
            <w:tcW w:w="1240" w:type="dxa"/>
            <w:vAlign w:val="bottom"/>
            <w:shd w:val="clear" w:color="auto" w:fill="ECECE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ECECE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ECECE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25,451</w:t>
            </w:r>
          </w:p>
        </w:tc>
      </w:tr>
      <w:tr>
        <w:trPr>
          <w:trHeight w:val="243"/>
        </w:trPr>
        <w:tc>
          <w:tcPr>
            <w:tcW w:w="316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Dispositions during the period</w:t>
            </w:r>
          </w:p>
        </w:tc>
        <w:tc>
          <w:tcPr>
            <w:tcW w:w="1640" w:type="dxa"/>
            <w:vAlign w:val="bottom"/>
            <w:tcBorders>
              <w:bottom w:val="single" w:sz="8" w:color="auto"/>
            </w:tcBorders>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(840)</w:t>
            </w:r>
          </w:p>
        </w:tc>
        <w:tc>
          <w:tcPr>
            <w:tcW w:w="1240" w:type="dxa"/>
            <w:vAlign w:val="bottom"/>
            <w:tcBorders>
              <w:bottom w:val="single" w:sz="8" w:color="auto"/>
            </w:tcBorders>
            <w:shd w:val="clear" w:color="auto" w:fill="ECECE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ECECE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ECECE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(880)</w:t>
            </w:r>
          </w:p>
        </w:tc>
        <w:tc>
          <w:tcPr>
            <w:tcW w:w="1500" w:type="dxa"/>
            <w:vAlign w:val="bottom"/>
            <w:tcBorders>
              <w:bottom w:val="single" w:sz="8" w:color="auto"/>
            </w:tcBorders>
            <w:shd w:val="clear" w:color="auto" w:fill="ECECE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(7,636)</w:t>
            </w:r>
          </w:p>
        </w:tc>
        <w:tc>
          <w:tcPr>
            <w:tcW w:w="9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(9,356)</w:t>
            </w:r>
          </w:p>
        </w:tc>
      </w:tr>
      <w:tr>
        <w:trPr>
          <w:trHeight w:val="243"/>
        </w:trPr>
        <w:tc>
          <w:tcPr>
            <w:tcW w:w="316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Quantity as of September 30, 2022</w:t>
            </w:r>
          </w:p>
        </w:tc>
        <w:tc>
          <w:tcPr>
            <w:tcW w:w="1640" w:type="dxa"/>
            <w:vAlign w:val="bottom"/>
            <w:tcBorders>
              <w:bottom w:val="single" w:sz="8" w:color="auto"/>
            </w:tcBorders>
            <w:shd w:val="clear" w:color="auto" w:fill="ECECE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43,286</w:t>
            </w:r>
          </w:p>
        </w:tc>
        <w:tc>
          <w:tcPr>
            <w:tcW w:w="1240" w:type="dxa"/>
            <w:vAlign w:val="bottom"/>
            <w:tcBorders>
              <w:bottom w:val="single" w:sz="8" w:color="auto"/>
            </w:tcBorders>
            <w:shd w:val="clear" w:color="auto" w:fill="ECECE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7,172</w:t>
            </w:r>
          </w:p>
        </w:tc>
        <w:tc>
          <w:tcPr>
            <w:tcW w:w="1340" w:type="dxa"/>
            <w:vAlign w:val="bottom"/>
            <w:tcBorders>
              <w:bottom w:val="single" w:sz="8" w:color="auto"/>
            </w:tcBorders>
            <w:shd w:val="clear" w:color="auto" w:fill="ECECE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6,446</w:t>
            </w:r>
          </w:p>
        </w:tc>
        <w:tc>
          <w:tcPr>
            <w:tcW w:w="138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144</w:t>
            </w:r>
          </w:p>
        </w:tc>
        <w:tc>
          <w:tcPr>
            <w:tcW w:w="1500" w:type="dxa"/>
            <w:vAlign w:val="bottom"/>
            <w:tcBorders>
              <w:bottom w:val="single" w:sz="8" w:color="auto"/>
            </w:tcBorders>
            <w:shd w:val="clear" w:color="auto" w:fill="ECECEC"/>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437</w:t>
            </w:r>
          </w:p>
        </w:tc>
        <w:tc>
          <w:tcPr>
            <w:tcW w:w="98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57,485</w:t>
            </w:r>
          </w:p>
        </w:tc>
      </w:tr>
    </w:tbl>
    <w:p>
      <w:pPr>
        <w:spacing w:after="0" w:line="193"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3,471 M20S that were classified as assets held for sale as described in Note 6, 27,162 M30S, 6,391 M31S and 6,262 M31S+ Miners.</w:t>
      </w:r>
    </w:p>
    <w:p>
      <w:pPr>
        <w:ind w:left="660" w:hanging="652"/>
        <w:spacing w:after="0" w:line="226" w:lineRule="auto"/>
        <w:tabs>
          <w:tab w:leader="none" w:pos="6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5,082 T3 and 1,364 T2T Miners that were classified as assets held for sale as described in Note 6.</w:t>
      </w:r>
    </w:p>
    <w:p>
      <w:pPr>
        <w:ind w:left="660" w:hanging="652"/>
        <w:spacing w:after="0"/>
        <w:tabs>
          <w:tab w:leader="none" w:pos="6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378 Antminer T15 and 59 Antminer S15 Miners that were classified as assets held for sale as described in Note 6.</w:t>
      </w:r>
    </w:p>
    <w:p>
      <w:pPr>
        <w:spacing w:after="0" w:line="192"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received and sold 601 Bitmain S19XP Miners which are not reflected in the table above.</w:t>
      </w:r>
    </w:p>
    <w:p>
      <w:pPr>
        <w:spacing w:after="0" w:line="162" w:lineRule="exact"/>
        <w:rPr>
          <w:sz w:val="20"/>
          <w:szCs w:val="20"/>
          <w:color w:val="auto"/>
        </w:rPr>
      </w:pPr>
    </w:p>
    <w:p>
      <w:pPr>
        <w:ind w:left="20" w:right="20" w:hanging="4"/>
        <w:spacing w:after="0" w:line="282" w:lineRule="auto"/>
        <w:rPr>
          <w:sz w:val="20"/>
          <w:szCs w:val="20"/>
          <w:color w:val="auto"/>
        </w:rPr>
      </w:pPr>
      <w:r>
        <w:rPr>
          <w:rFonts w:ascii="Times New Roman" w:cs="Times New Roman" w:eastAsia="Times New Roman" w:hAnsi="Times New Roman"/>
          <w:sz w:val="18"/>
          <w:szCs w:val="18"/>
          <w:color w:val="auto"/>
        </w:rPr>
        <w:t>Included in the BVVE and electrical equipment listed above are right-of-use assets consisting of 3,000 Whatsminer M31S+ with a net book value of approximately $3,838 as described in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INTANGIBLE ASSETS</w:t>
            </w: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8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Favourable</w:t>
            </w:r>
          </w:p>
        </w:tc>
        <w:tc>
          <w:tcPr>
            <w:tcW w:w="760" w:type="dxa"/>
            <w:vAlign w:val="bottom"/>
          </w:tcPr>
          <w:p>
            <w:pPr>
              <w:spacing w:after="0"/>
              <w:rPr>
                <w:sz w:val="24"/>
                <w:szCs w:val="24"/>
                <w:color w:val="auto"/>
              </w:rPr>
            </w:pPr>
          </w:p>
        </w:tc>
      </w:tr>
      <w:tr>
        <w:trPr>
          <w:trHeight w:val="238"/>
        </w:trPr>
        <w:tc>
          <w:tcPr>
            <w:tcW w:w="5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586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bottom w:val="single" w:sz="8" w:color="auto"/>
            </w:tcBorders>
            <w:shd w:val="clear" w:color="auto" w:fill="ECECEC"/>
          </w:tcPr>
          <w:p>
            <w:pPr>
              <w:spacing w:after="0"/>
              <w:rPr>
                <w:sz w:val="20"/>
                <w:szCs w:val="20"/>
                <w:color w:val="auto"/>
              </w:rPr>
            </w:pPr>
          </w:p>
        </w:tc>
        <w:tc>
          <w:tcPr>
            <w:tcW w:w="1360" w:type="dxa"/>
            <w:vAlign w:val="bottom"/>
            <w:tcBorders>
              <w:bottom w:val="single" w:sz="8" w:color="auto"/>
            </w:tcBorders>
            <w:shd w:val="clear" w:color="auto" w:fill="ECECEC"/>
          </w:tcPr>
          <w:p>
            <w:pPr>
              <w:spacing w:after="0"/>
              <w:rPr>
                <w:sz w:val="20"/>
                <w:szCs w:val="20"/>
                <w:color w:val="auto"/>
              </w:rPr>
            </w:pPr>
          </w:p>
        </w:tc>
        <w:tc>
          <w:tcPr>
            <w:tcW w:w="1880" w:type="dxa"/>
            <w:vAlign w:val="bottom"/>
            <w:tcBorders>
              <w:bottom w:val="single" w:sz="8" w:color="auto"/>
              <w:right w:val="single" w:sz="8" w:color="ECECEC"/>
            </w:tcBorders>
            <w:shd w:val="clear" w:color="auto" w:fill="ECECEC"/>
          </w:tcPr>
          <w:p>
            <w:pPr>
              <w:spacing w:after="0"/>
              <w:rPr>
                <w:sz w:val="20"/>
                <w:szCs w:val="20"/>
                <w:color w:val="auto"/>
              </w:rPr>
            </w:pPr>
          </w:p>
        </w:tc>
        <w:tc>
          <w:tcPr>
            <w:tcW w:w="760" w:type="dxa"/>
            <w:vAlign w:val="bottom"/>
            <w:tcBorders>
              <w:bottom w:val="single" w:sz="8" w:color="auto"/>
            </w:tcBorders>
            <w:shd w:val="clear" w:color="auto" w:fill="ECECEC"/>
          </w:tcPr>
          <w:p>
            <w:pPr>
              <w:spacing w:after="0"/>
              <w:rPr>
                <w:sz w:val="20"/>
                <w:szCs w:val="20"/>
                <w:color w:val="auto"/>
              </w:rPr>
            </w:pPr>
          </w:p>
        </w:tc>
      </w:tr>
      <w:tr>
        <w:trPr>
          <w:trHeight w:val="210"/>
        </w:trPr>
        <w:tc>
          <w:tcPr>
            <w:tcW w:w="586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380" w:type="dxa"/>
            <w:vAlign w:val="bottom"/>
            <w:shd w:val="clear" w:color="auto" w:fill="ECECEC"/>
          </w:tcPr>
          <w:p>
            <w:pPr>
              <w:spacing w:after="0"/>
              <w:rPr>
                <w:sz w:val="18"/>
                <w:szCs w:val="18"/>
                <w:color w:val="auto"/>
              </w:rPr>
            </w:pPr>
          </w:p>
        </w:tc>
        <w:tc>
          <w:tcPr>
            <w:tcW w:w="136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880" w:type="dxa"/>
            <w:vAlign w:val="bottom"/>
            <w:tcBorders>
              <w:right w:val="single" w:sz="8" w:color="ECECEC"/>
            </w:tcBorders>
            <w:shd w:val="clear" w:color="auto" w:fill="ECECE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1,800</w:t>
            </w:r>
          </w:p>
        </w:tc>
        <w:tc>
          <w:tcPr>
            <w:tcW w:w="760" w:type="dxa"/>
            <w:vAlign w:val="bottom"/>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6,950</w:t>
            </w:r>
          </w:p>
        </w:tc>
      </w:tr>
      <w:tr>
        <w:trPr>
          <w:trHeight w:val="243"/>
        </w:trPr>
        <w:tc>
          <w:tcPr>
            <w:tcW w:w="586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Measurement period adjustment to business combination</w:t>
            </w:r>
          </w:p>
        </w:tc>
        <w:tc>
          <w:tcPr>
            <w:tcW w:w="138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w:t>
            </w:r>
          </w:p>
        </w:tc>
        <w:tc>
          <w:tcPr>
            <w:tcW w:w="136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tcBorders>
              <w:bottom w:val="single" w:sz="8" w:color="auto"/>
              <w:right w:val="single" w:sz="8" w:color="ECECEC"/>
            </w:tcBorders>
            <w:shd w:val="clear" w:color="auto" w:fill="ECECE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200</w:t>
            </w:r>
          </w:p>
        </w:tc>
        <w:tc>
          <w:tcPr>
            <w:tcW w:w="76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37"/>
        </w:trPr>
        <w:tc>
          <w:tcPr>
            <w:tcW w:w="586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380" w:type="dxa"/>
            <w:vAlign w:val="bottom"/>
            <w:tcBorders>
              <w:bottom w:val="single" w:sz="8" w:color="auto"/>
            </w:tcBorders>
            <w:shd w:val="clear" w:color="auto" w:fill="ECECEC"/>
          </w:tcPr>
          <w:p>
            <w:pPr>
              <w:spacing w:after="0"/>
              <w:rPr>
                <w:sz w:val="20"/>
                <w:szCs w:val="20"/>
                <w:color w:val="auto"/>
              </w:rPr>
            </w:pPr>
          </w:p>
        </w:tc>
        <w:tc>
          <w:tcPr>
            <w:tcW w:w="136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5,150</w:t>
            </w:r>
          </w:p>
        </w:tc>
        <w:tc>
          <w:tcPr>
            <w:tcW w:w="1880" w:type="dxa"/>
            <w:vAlign w:val="bottom"/>
            <w:tcBorders>
              <w:bottom w:val="single" w:sz="8" w:color="auto"/>
              <w:right w:val="single" w:sz="8" w:color="ECECEC"/>
            </w:tcBorders>
            <w:shd w:val="clear" w:color="auto" w:fill="ECECE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2,000</w:t>
            </w:r>
          </w:p>
        </w:tc>
        <w:tc>
          <w:tcPr>
            <w:tcW w:w="76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7,150</w:t>
            </w:r>
          </w:p>
        </w:tc>
      </w:tr>
      <w:tr>
        <w:trPr>
          <w:trHeight w:val="453"/>
        </w:trPr>
        <w:tc>
          <w:tcPr>
            <w:tcW w:w="586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380" w:type="dxa"/>
            <w:vAlign w:val="bottom"/>
            <w:tcBorders>
              <w:bottom w:val="single" w:sz="8" w:color="auto"/>
            </w:tcBorders>
            <w:shd w:val="clear" w:color="auto" w:fill="ECECEC"/>
          </w:tcPr>
          <w:p>
            <w:pPr>
              <w:spacing w:after="0"/>
              <w:rPr>
                <w:sz w:val="24"/>
                <w:szCs w:val="24"/>
                <w:color w:val="auto"/>
              </w:rPr>
            </w:pPr>
          </w:p>
        </w:tc>
        <w:tc>
          <w:tcPr>
            <w:tcW w:w="1360" w:type="dxa"/>
            <w:vAlign w:val="bottom"/>
            <w:tcBorders>
              <w:bottom w:val="single" w:sz="8" w:color="auto"/>
            </w:tcBorders>
            <w:shd w:val="clear" w:color="auto" w:fill="ECECEC"/>
          </w:tcPr>
          <w:p>
            <w:pPr>
              <w:spacing w:after="0"/>
              <w:rPr>
                <w:sz w:val="24"/>
                <w:szCs w:val="24"/>
                <w:color w:val="auto"/>
              </w:rPr>
            </w:pPr>
          </w:p>
        </w:tc>
        <w:tc>
          <w:tcPr>
            <w:tcW w:w="1880" w:type="dxa"/>
            <w:vAlign w:val="bottom"/>
            <w:tcBorders>
              <w:bottom w:val="single" w:sz="8" w:color="auto"/>
              <w:right w:val="single" w:sz="8" w:color="ECECEC"/>
            </w:tcBorders>
            <w:shd w:val="clear" w:color="auto" w:fill="ECECEC"/>
          </w:tcPr>
          <w:p>
            <w:pPr>
              <w:spacing w:after="0"/>
              <w:rPr>
                <w:sz w:val="24"/>
                <w:szCs w:val="24"/>
                <w:color w:val="auto"/>
              </w:rPr>
            </w:pPr>
          </w:p>
        </w:tc>
        <w:tc>
          <w:tcPr>
            <w:tcW w:w="760" w:type="dxa"/>
            <w:vAlign w:val="bottom"/>
            <w:tcBorders>
              <w:bottom w:val="single" w:sz="8" w:color="auto"/>
            </w:tcBorders>
            <w:shd w:val="clear" w:color="auto" w:fill="ECECEC"/>
          </w:tcPr>
          <w:p>
            <w:pPr>
              <w:spacing w:after="0"/>
              <w:rPr>
                <w:sz w:val="24"/>
                <w:szCs w:val="24"/>
                <w:color w:val="auto"/>
              </w:rPr>
            </w:pPr>
          </w:p>
        </w:tc>
      </w:tr>
      <w:tr>
        <w:trPr>
          <w:trHeight w:val="209"/>
        </w:trPr>
        <w:tc>
          <w:tcPr>
            <w:tcW w:w="586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Balance as of January 1, 2022</w:t>
            </w:r>
          </w:p>
        </w:tc>
        <w:tc>
          <w:tcPr>
            <w:tcW w:w="1380" w:type="dxa"/>
            <w:vAlign w:val="bottom"/>
            <w:shd w:val="clear" w:color="auto" w:fill="ECECEC"/>
          </w:tcPr>
          <w:p>
            <w:pPr>
              <w:spacing w:after="0"/>
              <w:rPr>
                <w:sz w:val="18"/>
                <w:szCs w:val="18"/>
                <w:color w:val="auto"/>
              </w:rPr>
            </w:pPr>
          </w:p>
        </w:tc>
        <w:tc>
          <w:tcPr>
            <w:tcW w:w="136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5,008</w:t>
            </w:r>
          </w:p>
        </w:tc>
        <w:tc>
          <w:tcPr>
            <w:tcW w:w="1880" w:type="dxa"/>
            <w:vAlign w:val="bottom"/>
            <w:tcBorders>
              <w:right w:val="single" w:sz="8" w:color="ECECEC"/>
            </w:tcBorders>
            <w:shd w:val="clear" w:color="auto" w:fill="ECECE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261</w:t>
            </w:r>
          </w:p>
        </w:tc>
        <w:tc>
          <w:tcPr>
            <w:tcW w:w="760" w:type="dxa"/>
            <w:vAlign w:val="bottom"/>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5,269</w:t>
            </w:r>
          </w:p>
        </w:tc>
      </w:tr>
      <w:tr>
        <w:trPr>
          <w:trHeight w:val="243"/>
        </w:trPr>
        <w:tc>
          <w:tcPr>
            <w:tcW w:w="586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80" w:type="dxa"/>
            <w:vAlign w:val="bottom"/>
            <w:tcBorders>
              <w:bottom w:val="single" w:sz="8" w:color="auto"/>
            </w:tcBorders>
            <w:shd w:val="clear" w:color="auto" w:fill="ECECEC"/>
          </w:tcPr>
          <w:p>
            <w:pPr>
              <w:spacing w:after="0"/>
              <w:rPr>
                <w:sz w:val="21"/>
                <w:szCs w:val="21"/>
                <w:color w:val="auto"/>
              </w:rPr>
            </w:pPr>
          </w:p>
        </w:tc>
        <w:tc>
          <w:tcPr>
            <w:tcW w:w="136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101</w:t>
            </w:r>
          </w:p>
        </w:tc>
        <w:tc>
          <w:tcPr>
            <w:tcW w:w="1880" w:type="dxa"/>
            <w:vAlign w:val="bottom"/>
            <w:tcBorders>
              <w:bottom w:val="single" w:sz="8" w:color="auto"/>
              <w:right w:val="single" w:sz="8" w:color="ECECEC"/>
            </w:tcBorders>
            <w:shd w:val="clear" w:color="auto" w:fill="ECECE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1,520</w:t>
            </w:r>
          </w:p>
        </w:tc>
        <w:tc>
          <w:tcPr>
            <w:tcW w:w="76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1,621</w:t>
            </w:r>
          </w:p>
        </w:tc>
      </w:tr>
      <w:tr>
        <w:trPr>
          <w:trHeight w:val="237"/>
        </w:trPr>
        <w:tc>
          <w:tcPr>
            <w:tcW w:w="586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380" w:type="dxa"/>
            <w:vAlign w:val="bottom"/>
            <w:tcBorders>
              <w:bottom w:val="single" w:sz="8" w:color="auto"/>
            </w:tcBorders>
            <w:shd w:val="clear" w:color="auto" w:fill="ECECEC"/>
          </w:tcPr>
          <w:p>
            <w:pPr>
              <w:spacing w:after="0"/>
              <w:rPr>
                <w:sz w:val="20"/>
                <w:szCs w:val="20"/>
                <w:color w:val="auto"/>
              </w:rPr>
            </w:pPr>
          </w:p>
        </w:tc>
        <w:tc>
          <w:tcPr>
            <w:tcW w:w="136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5,109</w:t>
            </w:r>
          </w:p>
        </w:tc>
        <w:tc>
          <w:tcPr>
            <w:tcW w:w="1880" w:type="dxa"/>
            <w:vAlign w:val="bottom"/>
            <w:tcBorders>
              <w:bottom w:val="single" w:sz="8" w:color="auto"/>
              <w:right w:val="single" w:sz="8" w:color="ECECEC"/>
            </w:tcBorders>
            <w:shd w:val="clear" w:color="auto" w:fill="ECECE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1,781</w:t>
            </w:r>
          </w:p>
        </w:tc>
        <w:tc>
          <w:tcPr>
            <w:tcW w:w="76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6,890</w:t>
            </w:r>
          </w:p>
        </w:tc>
      </w:tr>
      <w:tr>
        <w:trPr>
          <w:trHeight w:val="243"/>
        </w:trPr>
        <w:tc>
          <w:tcPr>
            <w:tcW w:w="586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Net book value as of September 30, 2022</w:t>
            </w:r>
          </w:p>
        </w:tc>
        <w:tc>
          <w:tcPr>
            <w:tcW w:w="1380" w:type="dxa"/>
            <w:vAlign w:val="bottom"/>
            <w:tcBorders>
              <w:bottom w:val="single" w:sz="8" w:color="auto"/>
            </w:tcBorders>
            <w:shd w:val="clear" w:color="auto" w:fill="ECECEC"/>
          </w:tcPr>
          <w:p>
            <w:pPr>
              <w:spacing w:after="0"/>
              <w:rPr>
                <w:sz w:val="21"/>
                <w:szCs w:val="21"/>
                <w:color w:val="auto"/>
              </w:rPr>
            </w:pPr>
          </w:p>
        </w:tc>
        <w:tc>
          <w:tcPr>
            <w:tcW w:w="136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w:t>
            </w:r>
          </w:p>
        </w:tc>
        <w:tc>
          <w:tcPr>
            <w:tcW w:w="1880" w:type="dxa"/>
            <w:vAlign w:val="bottom"/>
            <w:tcBorders>
              <w:bottom w:val="single" w:sz="8" w:color="auto"/>
              <w:right w:val="single" w:sz="8" w:color="ECECEC"/>
            </w:tcBorders>
            <w:shd w:val="clear" w:color="auto" w:fill="ECECEC"/>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219</w:t>
            </w:r>
          </w:p>
        </w:tc>
        <w:tc>
          <w:tcPr>
            <w:tcW w:w="76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260</w:t>
            </w:r>
          </w:p>
        </w:tc>
      </w:tr>
      <w:tr>
        <w:trPr>
          <w:trHeight w:val="410"/>
        </w:trPr>
        <w:tc>
          <w:tcPr>
            <w:tcW w:w="5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Systems</w:t>
            </w:r>
          </w:p>
        </w:tc>
        <w:tc>
          <w:tcPr>
            <w:tcW w:w="18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Favourable</w:t>
            </w:r>
          </w:p>
        </w:tc>
        <w:tc>
          <w:tcPr>
            <w:tcW w:w="760" w:type="dxa"/>
            <w:vAlign w:val="bottom"/>
          </w:tcPr>
          <w:p>
            <w:pPr>
              <w:spacing w:after="0"/>
              <w:rPr>
                <w:sz w:val="24"/>
                <w:szCs w:val="24"/>
                <w:color w:val="auto"/>
              </w:rPr>
            </w:pPr>
          </w:p>
        </w:tc>
      </w:tr>
      <w:tr>
        <w:trPr>
          <w:trHeight w:val="238"/>
        </w:trPr>
        <w:tc>
          <w:tcPr>
            <w:tcW w:w="58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8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lease</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21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3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5,150</w:t>
            </w:r>
          </w:p>
        </w:tc>
        <w:tc>
          <w:tcPr>
            <w:tcW w:w="1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5,150</w:t>
            </w:r>
          </w:p>
        </w:tc>
      </w:tr>
      <w:tr>
        <w:trPr>
          <w:trHeight w:val="234"/>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Additions through business combination</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1,800</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1,800</w:t>
            </w:r>
          </w:p>
        </w:tc>
      </w:tr>
      <w:tr>
        <w:trPr>
          <w:trHeight w:val="23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5,150</w:t>
            </w:r>
          </w:p>
        </w:tc>
        <w:tc>
          <w:tcPr>
            <w:tcW w:w="18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1,800</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6,950</w:t>
            </w:r>
          </w:p>
        </w:tc>
      </w:tr>
      <w:tr>
        <w:trPr>
          <w:trHeight w:val="45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18"/>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January 1, 2021</w:t>
            </w:r>
          </w:p>
        </w:tc>
        <w:tc>
          <w:tcPr>
            <w:tcW w:w="138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4,773</w:t>
            </w:r>
          </w:p>
        </w:tc>
        <w:tc>
          <w:tcPr>
            <w:tcW w:w="18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4,773</w:t>
            </w:r>
          </w:p>
        </w:tc>
      </w:tr>
      <w:tr>
        <w:trPr>
          <w:trHeight w:val="234"/>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8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261</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496</w:t>
            </w:r>
          </w:p>
        </w:tc>
      </w:tr>
      <w:tr>
        <w:trPr>
          <w:trHeight w:val="236"/>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5,008</w:t>
            </w:r>
          </w:p>
        </w:tc>
        <w:tc>
          <w:tcPr>
            <w:tcW w:w="18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261</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5,269</w:t>
            </w:r>
          </w:p>
        </w:tc>
      </w:tr>
      <w:tr>
        <w:trPr>
          <w:trHeight w:val="244"/>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book value as of December 31, 2021</w:t>
            </w:r>
          </w:p>
        </w:tc>
        <w:tc>
          <w:tcPr>
            <w:tcW w:w="13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8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1,539</w:t>
            </w: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1,681</w:t>
            </w:r>
          </w:p>
        </w:tc>
      </w:tr>
      <w:tr>
        <w:trPr>
          <w:trHeight w:val="439"/>
        </w:trPr>
        <w:tc>
          <w:tcPr>
            <w:tcW w:w="58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16"/>
        </w:trPr>
        <w:tc>
          <w:tcPr>
            <w:tcW w:w="5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LONG-TERM DEPOSITS, EQUIPMENT PREPAYMENTS, OTHER AND COMMITMENTS</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8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8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1,800</w:t>
            </w:r>
          </w:p>
        </w:tc>
        <w:tc>
          <w:tcPr>
            <w:tcW w:w="1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2,067</w:t>
            </w:r>
          </w:p>
        </w:tc>
      </w:tr>
      <w:tr>
        <w:trPr>
          <w:trHeight w:val="221"/>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deposits for energy, insurance and rent</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3,889</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1,555</w:t>
            </w:r>
          </w:p>
        </w:tc>
      </w:tr>
      <w:tr>
        <w:trPr>
          <w:trHeight w:val="238"/>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Equipment and construction prepayments**</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32,716</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83,059</w:t>
            </w:r>
          </w:p>
        </w:tc>
      </w:tr>
      <w:tr>
        <w:trPr>
          <w:trHeight w:val="243"/>
        </w:trPr>
        <w:tc>
          <w:tcPr>
            <w:tcW w:w="8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38,405</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86,681</w:t>
            </w:r>
          </w:p>
        </w:tc>
      </w:tr>
    </w:tbl>
    <w:p>
      <w:pPr>
        <w:spacing w:after="0" w:line="193"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Note 18 for more details about the provision applied to the Argentine value-added tax (VAT) receivable.</w:t>
      </w:r>
    </w:p>
    <w:p>
      <w:pPr>
        <w:spacing w:after="0" w:line="204" w:lineRule="exact"/>
        <w:rPr>
          <w:sz w:val="20"/>
          <w:szCs w:val="20"/>
          <w:color w:val="auto"/>
        </w:rPr>
      </w:pPr>
    </w:p>
    <w:p>
      <w:pPr>
        <w:jc w:val="both"/>
        <w:ind w:left="340" w:hanging="332"/>
        <w:spacing w:after="0"/>
        <w:tabs>
          <w:tab w:leader="none" w:pos="3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has deposits on BVVE and electrical components in the amount of $21,722, mainly for outstanding orders placed consisting of 48,000 Whatsminer miners with expected delivery in 2022 and the first nine months of 2023. In addition, the Company has deposits for construction work and materials in the amount of $10,994, mainly for the Argentina expansion. The Company is exposed to counterparty risk through the significant deposits it places with suppliers of mining hardware to secure orders and delivery dates as well as deposits it places with construction companies and suppliers of electrical components and construction materials. The risk of a supplier failing to meet its contractual obligations may result in late deliveries or long-term deposits and equipment and construction prepayments that are not realized. The Company attempts to mitigate this risk by procuring mining hardware from larger, more established suppliers and those with whom the Company has existing relationships and knowledge of their reputation in the market as well as by insuring deposits placed for construction work and materials.</w:t>
      </w:r>
    </w:p>
    <w:p>
      <w:pPr>
        <w:spacing w:after="0" w:line="294"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an impairment charge of $48,865 on the equipment and construction prepayments which was included in profit or loss under Impairment on equipment and construction prepayments, property, plant and equipment and right-of-use assets. Refer to Note 6 for more details.</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remaining payment obligations in connection with the 48,000 unit purchase agreement and an additional purchase agreement for 1,200</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Antminer miners are outlined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10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8"/>
                <w:szCs w:val="18"/>
                <w:color w:val="auto"/>
              </w:rPr>
            </w:pPr>
          </w:p>
        </w:tc>
      </w:t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ending December 31, 2022</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6,462</w:t>
            </w:r>
          </w:p>
        </w:tc>
        <w:tc>
          <w:tcPr>
            <w:tcW w:w="100" w:type="dxa"/>
            <w:vAlign w:val="bottom"/>
          </w:tcPr>
          <w:p>
            <w:pPr>
              <w:spacing w:after="0"/>
              <w:rPr>
                <w:sz w:val="18"/>
                <w:szCs w:val="18"/>
                <w:color w:val="auto"/>
              </w:rPr>
            </w:pPr>
          </w:p>
        </w:tc>
      </w:tr>
      <w:tr>
        <w:trPr>
          <w:trHeight w:val="194"/>
        </w:trPr>
        <w:tc>
          <w:tcPr>
            <w:tcW w:w="10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Three months ending March 31, 2023</w:t>
            </w:r>
          </w:p>
        </w:tc>
        <w:tc>
          <w:tcPr>
            <w:tcW w:w="112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13,447</w:t>
            </w:r>
          </w:p>
        </w:tc>
        <w:tc>
          <w:tcPr>
            <w:tcW w:w="100" w:type="dxa"/>
            <w:vAlign w:val="bottom"/>
          </w:tcPr>
          <w:p>
            <w:pPr>
              <w:spacing w:after="0"/>
              <w:rPr>
                <w:sz w:val="16"/>
                <w:szCs w:val="16"/>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ending June 30, 2023</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13,313</w:t>
            </w:r>
          </w:p>
        </w:tc>
        <w:tc>
          <w:tcPr>
            <w:tcW w:w="100" w:type="dxa"/>
            <w:vAlign w:val="bottom"/>
          </w:tcPr>
          <w:p>
            <w:pPr>
              <w:spacing w:after="0"/>
              <w:rPr>
                <w:sz w:val="18"/>
                <w:szCs w:val="18"/>
                <w:color w:val="auto"/>
              </w:rPr>
            </w:pPr>
          </w:p>
        </w:tc>
      </w:tr>
      <w:tr>
        <w:trPr>
          <w:trHeight w:val="238"/>
        </w:trPr>
        <w:tc>
          <w:tcPr>
            <w:tcW w:w="10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Three months ending September 30, 2023</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12,128</w:t>
            </w:r>
          </w:p>
        </w:tc>
        <w:tc>
          <w:tcPr>
            <w:tcW w:w="100" w:type="dxa"/>
            <w:vAlign w:val="bottom"/>
            <w:tcBorders>
              <w:bottom w:val="single" w:sz="8" w:color="auto"/>
            </w:tcBorders>
          </w:tcPr>
          <w:p>
            <w:pPr>
              <w:spacing w:after="0"/>
              <w:rPr>
                <w:sz w:val="20"/>
                <w:szCs w:val="20"/>
                <w:color w:val="auto"/>
              </w:rPr>
            </w:pPr>
          </w:p>
        </w:tc>
      </w:tr>
      <w:tr>
        <w:trPr>
          <w:trHeight w:val="210"/>
        </w:trPr>
        <w:tc>
          <w:tcPr>
            <w:tcW w:w="100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45,350</w:t>
            </w:r>
          </w:p>
        </w:tc>
        <w:tc>
          <w:tcPr>
            <w:tcW w:w="100" w:type="dxa"/>
            <w:vAlign w:val="bottom"/>
            <w:tcBorders>
              <w:bottom w:val="single" w:sz="8" w:color="auto"/>
            </w:tcBorders>
          </w:tcPr>
          <w:p>
            <w:pPr>
              <w:spacing w:after="0"/>
              <w:rPr>
                <w:sz w:val="18"/>
                <w:szCs w:val="18"/>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 will require additional sources of financing to meet the payment obligations included in the table above, as described in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20</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9:</w:t>
            </w:r>
          </w:p>
        </w:tc>
        <w:tc>
          <w:tcPr>
            <w:tcW w:w="7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1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3"/>
        </w:trPr>
        <w:tc>
          <w:tcPr>
            <w:tcW w:w="900" w:type="dxa"/>
            <w:vAlign w:val="bottom"/>
            <w:tcBorders>
              <w:bottom w:val="single" w:sz="8" w:color="auto"/>
            </w:tcBorders>
          </w:tcPr>
          <w:p>
            <w:pPr>
              <w:spacing w:after="0"/>
              <w:rPr>
                <w:sz w:val="21"/>
                <w:szCs w:val="21"/>
                <w:color w:val="auto"/>
              </w:rPr>
            </w:pPr>
          </w:p>
        </w:tc>
        <w:tc>
          <w:tcPr>
            <w:tcW w:w="77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90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accounts payable and accrued liabilities</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8,997</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9,873</w:t>
            </w:r>
          </w:p>
        </w:tc>
      </w:tr>
      <w:tr>
        <w:trPr>
          <w:trHeight w:val="243"/>
        </w:trPr>
        <w:tc>
          <w:tcPr>
            <w:tcW w:w="8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Government remittances</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7,005</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4,607</w:t>
            </w:r>
          </w:p>
        </w:tc>
      </w:tr>
      <w:tr>
        <w:trPr>
          <w:trHeight w:val="243"/>
        </w:trPr>
        <w:tc>
          <w:tcPr>
            <w:tcW w:w="900" w:type="dxa"/>
            <w:vAlign w:val="bottom"/>
            <w:tcBorders>
              <w:bottom w:val="single" w:sz="8" w:color="auto"/>
            </w:tcBorders>
          </w:tcPr>
          <w:p>
            <w:pPr>
              <w:spacing w:after="0"/>
              <w:rPr>
                <w:sz w:val="21"/>
                <w:szCs w:val="21"/>
                <w:color w:val="auto"/>
              </w:rPr>
            </w:pPr>
          </w:p>
        </w:tc>
        <w:tc>
          <w:tcPr>
            <w:tcW w:w="77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16,002</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14,480</w:t>
            </w:r>
          </w:p>
        </w:tc>
      </w:tr>
      <w:tr>
        <w:trPr>
          <w:trHeight w:val="432"/>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7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CREDIT FACILITY</w:t>
            </w: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43"/>
        </w:trPr>
        <w:tc>
          <w:tcPr>
            <w:tcW w:w="900" w:type="dxa"/>
            <w:vAlign w:val="bottom"/>
            <w:tcBorders>
              <w:bottom w:val="single" w:sz="8" w:color="auto"/>
            </w:tcBorders>
          </w:tcPr>
          <w:p>
            <w:pPr>
              <w:spacing w:after="0"/>
              <w:rPr>
                <w:sz w:val="21"/>
                <w:szCs w:val="21"/>
                <w:color w:val="auto"/>
              </w:rPr>
            </w:pPr>
          </w:p>
        </w:tc>
        <w:tc>
          <w:tcPr>
            <w:tcW w:w="77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7"/>
        </w:trPr>
        <w:tc>
          <w:tcPr>
            <w:tcW w:w="900" w:type="dxa"/>
            <w:vAlign w:val="bottom"/>
            <w:tcBorders>
              <w:bottom w:val="single" w:sz="8" w:color="auto"/>
            </w:tcBorders>
          </w:tcPr>
          <w:p>
            <w:pPr>
              <w:spacing w:after="0"/>
              <w:rPr>
                <w:sz w:val="20"/>
                <w:szCs w:val="20"/>
                <w:color w:val="auto"/>
              </w:rPr>
            </w:pPr>
          </w:p>
        </w:tc>
        <w:tc>
          <w:tcPr>
            <w:tcW w:w="7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23,137</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60,000</w:t>
            </w:r>
          </w:p>
        </w:tc>
      </w:tr>
      <w:tr>
        <w:trPr>
          <w:trHeight w:val="243"/>
        </w:trPr>
        <w:tc>
          <w:tcPr>
            <w:tcW w:w="8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Interest payable on revolving credit facility</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900" w:type="dxa"/>
            <w:vAlign w:val="bottom"/>
            <w:tcBorders>
              <w:bottom w:val="single" w:sz="8" w:color="auto"/>
            </w:tcBorders>
          </w:tcPr>
          <w:p>
            <w:pPr>
              <w:spacing w:after="0"/>
              <w:rPr>
                <w:sz w:val="21"/>
                <w:szCs w:val="21"/>
                <w:color w:val="auto"/>
              </w:rPr>
            </w:pPr>
          </w:p>
        </w:tc>
        <w:tc>
          <w:tcPr>
            <w:tcW w:w="77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23,357</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60,002</w:t>
            </w: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On December 30, 2021, the Company entered into a secured revolving credit facility up to $100,000 (the “Credit Facility” or the “Facility”) for a term of 6 months with Galaxy Digital LLC (the “Facility Lender”). The Credit Facility bears interest at a rate of 10.75% per annum with a commitment fee of 0.75% per annum charged on the unused portion of the $100,000 Facility.</w:t>
      </w:r>
    </w:p>
    <w:p>
      <w:pPr>
        <w:spacing w:after="0" w:line="17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the Company drew an additional $40,000 on the Credit Facility, bringing the total amount drawn to $100,000 as of March 31, 2022. In June 2022, the Company repaid $61,846 of the Credit Facility, bringing the total amount drawn to $38,154 as of June 30, 2022.</w:t>
      </w:r>
    </w:p>
    <w:p>
      <w:pPr>
        <w:spacing w:after="0" w:line="176"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On June 30, 2022, the Company amended its Credit Facility and extended its maturity date to October 1, 2022. Under the new terms, the maximum limit of the amended Facility is $40,000, bears interest at 11.25% per annum and has a commitment fee of 0.25% per annum charged on the unused portion of the Facility. The amended Facility also includes a provision which allows the Company to repay up to $15,000 of the Facility prior to July 30, 2022, without incurring any prepayment penalty. During the three months ended September 30, 2022, the Company repaid $15,017 of the Credit Facility, bringing the total amount drawn to $23,137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 xml:space="preserve">CREDIT FACILITY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jc w:val="both"/>
        <w:ind w:left="20" w:hanging="4"/>
        <w:spacing w:after="0" w:line="253" w:lineRule="auto"/>
        <w:rPr>
          <w:sz w:val="20"/>
          <w:szCs w:val="20"/>
          <w:color w:val="auto"/>
        </w:rPr>
      </w:pPr>
      <w:r>
        <w:rPr>
          <w:rFonts w:ascii="Times New Roman" w:cs="Times New Roman" w:eastAsia="Times New Roman" w:hAnsi="Times New Roman"/>
          <w:sz w:val="18"/>
          <w:szCs w:val="18"/>
          <w:color w:val="auto"/>
        </w:rPr>
        <w:t>On September 29, 2022, the Company amended its Credit Facility and extended its maturity date from October 1, 2022 to December 29, 2022. Under the new terms, the maximum limit of the amended Facility is $40,000, bears interest at 11.25% per annum and has a commitment fee of 0.25% per annum charged on the unused portion of the Facility. The amended Facility also includes a provision which allows the Company to prepay the Credit Facility with a prepayment fee of 50% of the remaining interest that would be owed if the Facility was held to maturity. In the event that the Company seeks to transfer or convert the Credit Facility prior to the scheduled maturity date in order to enter into a new transaction with the Facility Lender or its affiliates, the early termination fee shall be waived for the Company for any portion of the Facility subject to such transfer or conversion. Furthermore, the initial ratio of BTC pledged as collateral, calculated as a percentage of the amount borrowed, as described below, was reduced from 143% to 135%. The minimum ratio of BTC collateralized as a percentage of the amount borrowed that requires the Company to contribute additional collateral to the Facility Lender was also reduced from 133% to 125%. The Company’s BTC collateral ratio to have the right to require the Facility Lender to return any BTC pledged as collateral was reduced from 153% to 145%.</w:t>
      </w:r>
    </w:p>
    <w:p>
      <w:pPr>
        <w:spacing w:after="0" w:line="194" w:lineRule="exact"/>
        <w:rPr>
          <w:sz w:val="20"/>
          <w:szCs w:val="20"/>
          <w:color w:val="auto"/>
        </w:rPr>
      </w:pPr>
    </w:p>
    <w:p>
      <w:pPr>
        <w:jc w:val="both"/>
        <w:ind w:left="20" w:hanging="4"/>
        <w:spacing w:after="0" w:line="255" w:lineRule="auto"/>
        <w:rPr>
          <w:sz w:val="20"/>
          <w:szCs w:val="20"/>
          <w:color w:val="auto"/>
        </w:rPr>
      </w:pPr>
      <w:r>
        <w:rPr>
          <w:rFonts w:ascii="Times New Roman" w:cs="Times New Roman" w:eastAsia="Times New Roman" w:hAnsi="Times New Roman"/>
          <w:sz w:val="18"/>
          <w:szCs w:val="18"/>
          <w:color w:val="auto"/>
        </w:rPr>
        <w:t>The Facility is secured by BTC, with the value of BTC pledged as collateral calculated as 135% of the amount borrowed. The Company is required to contribute additional collateral to the Facility Lender any time the value of the BTC pledged as collateral is below 125% of the amount borrowed. The Company also has the right to require the Facility Lender to return any BTC when the value of the BTC pledged as collateral exceeds 145% of the amount borrowed. A substantial decrease in BTC price may result in the Company being unable to meet the minimum BTC collateral requirements, which could result in the disposition of the Company’s BTC pledged as collateral by the Facility Lender, or repayment of the Facility in fiat currency on demand. The Company is exposed to counterparty risk as it is reliant on the Facility Lender to return the BTC collateral upon extinguishment of the Credit Facility. The Facility Lender cannot rehypothecate the BTC collateral except during an event of default.</w:t>
      </w:r>
    </w:p>
    <w:p>
      <w:pPr>
        <w:spacing w:after="0" w:line="18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Credit Facility contains an affirmative covenant where the ending balance of the Company’s net asset value, defined as the total value of all assets minus any liabilities divided by the number of outstanding shares in any calendar month, cannot decline by:</w:t>
      </w:r>
    </w:p>
    <w:p>
      <w:pPr>
        <w:spacing w:after="0" w:line="162" w:lineRule="exact"/>
        <w:rPr>
          <w:sz w:val="20"/>
          <w:szCs w:val="20"/>
          <w:color w:val="auto"/>
        </w:rPr>
      </w:pPr>
    </w:p>
    <w:p>
      <w:pPr>
        <w:ind w:left="660" w:hanging="315"/>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or more compared to the previous month;</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compared to three months ago; or</w:t>
      </w:r>
    </w:p>
    <w:p>
      <w:pPr>
        <w:spacing w:after="0" w:line="225"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compared to any calendar month in the immediately preceding calendar year.</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 of October 31, 2022, the most recently completed calendar month, the Company was in compliance with all of the covenants described above.</w:t>
      </w:r>
    </w:p>
    <w:p>
      <w:pPr>
        <w:spacing w:after="0" w:line="225"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The Company pledged 1,620 BTC as collateral with a fair market value of $31,479 as of September 30, 2022. The pledged BTC is held in a segregated Coinbase Custody account owned by the Facility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LONG-TERM DEBT</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Equipment financing</w:t>
            </w:r>
          </w:p>
        </w:tc>
        <w:tc>
          <w:tcPr>
            <w:tcW w:w="1240" w:type="dxa"/>
            <w:vAlign w:val="bottom"/>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55,193</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11,039</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Volta note payable</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20" w:type="dxa"/>
            <w:vAlign w:val="bottom"/>
            <w:tcBorders>
              <w:bottom w:val="single" w:sz="8" w:color="auto"/>
            </w:tcBorders>
            <w:shd w:val="clear" w:color="auto" w:fill="ECECEC"/>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1"/>
        </w:trPr>
        <w:tc>
          <w:tcPr>
            <w:tcW w:w="868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Total long-term debt</w:t>
            </w:r>
          </w:p>
        </w:tc>
        <w:tc>
          <w:tcPr>
            <w:tcW w:w="1120" w:type="dxa"/>
            <w:vAlign w:val="bottom"/>
            <w:shd w:val="clear" w:color="auto" w:fill="ECECEC"/>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55,299</w:t>
            </w:r>
          </w:p>
        </w:tc>
        <w:tc>
          <w:tcPr>
            <w:tcW w:w="12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11,167</w:t>
            </w:r>
          </w:p>
        </w:tc>
        <w:tc>
          <w:tcPr>
            <w:tcW w:w="0" w:type="dxa"/>
            <w:vAlign w:val="bottom"/>
          </w:tcPr>
          <w:p>
            <w:pPr>
              <w:spacing w:after="0"/>
              <w:rPr>
                <w:sz w:val="1"/>
                <w:szCs w:val="1"/>
                <w:color w:val="auto"/>
              </w:rPr>
            </w:pPr>
          </w:p>
        </w:tc>
      </w:tr>
      <w:tr>
        <w:trPr>
          <w:trHeight w:val="261"/>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(38,772</w:t>
            </w:r>
          </w:p>
        </w:tc>
        <w:tc>
          <w:tcPr>
            <w:tcW w:w="120" w:type="dxa"/>
            <w:vAlign w:val="bottom"/>
            <w:tcBorders>
              <w:bottom w:val="single" w:sz="8" w:color="auto"/>
            </w:tcBorders>
            <w:vMerge w:val="continue"/>
            <w:shd w:val="clear" w:color="auto" w:fill="ECECEC"/>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16,527</w:t>
            </w:r>
          </w:p>
        </w:tc>
        <w:tc>
          <w:tcPr>
            <w:tcW w:w="120" w:type="dxa"/>
            <w:vAlign w:val="bottom"/>
            <w:tcBorders>
              <w:bottom w:val="single" w:sz="8" w:color="auto"/>
            </w:tcBorders>
            <w:shd w:val="clear" w:color="auto" w:fill="ECECEC"/>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Equipment financing</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In February 2022, the Company entered into an equipment financing agreement for gross proceeds of $32,000 collateralized by 6,100 Bitmain S19j Pro miners referred to as the “Blockfi Loan”. The net proceeds received by the Company were $30,994 after capitalizing origination, closing and other transaction fees of $1,006.</w:t>
      </w:r>
    </w:p>
    <w:p>
      <w:pPr>
        <w:spacing w:after="0" w:line="176" w:lineRule="exact"/>
        <w:rPr>
          <w:sz w:val="20"/>
          <w:szCs w:val="20"/>
          <w:color w:val="auto"/>
        </w:rPr>
      </w:pPr>
    </w:p>
    <w:p>
      <w:pPr>
        <w:jc w:val="both"/>
        <w:ind w:left="20" w:hanging="4"/>
        <w:spacing w:after="0" w:line="258" w:lineRule="auto"/>
        <w:rPr>
          <w:sz w:val="20"/>
          <w:szCs w:val="20"/>
          <w:color w:val="auto"/>
        </w:rPr>
      </w:pPr>
      <w:r>
        <w:rPr>
          <w:rFonts w:ascii="Times New Roman" w:cs="Times New Roman" w:eastAsia="Times New Roman" w:hAnsi="Times New Roman"/>
          <w:sz w:val="18"/>
          <w:szCs w:val="18"/>
          <w:color w:val="auto"/>
        </w:rPr>
        <w:t>In June 2022, the Company entered into an equipment financing agreement for gross proceeds of $36,860 collateralized by 10,395 MicroBT Whatsminer M30S miners referred to as the “NYDIG Loan”. The net proceeds received by the Company were $36,123 net of origination and closing fees of $737. As part of the agreement, the Company must maintain in an identified wallet an approximate quantity of BTC whose value equates to one month of interest and principal payments on the outstanding loan. The Company pledged 104 BTC as collateral with a fair market value of $2,021 as of September 30, 2022. The pledged BTC is held in a segregated Coinbase Custody account owned by the Company unless there is an event of default.</w:t>
      </w:r>
    </w:p>
    <w:p>
      <w:pPr>
        <w:spacing w:after="0" w:line="183"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Details of the equipment financing and the balance of the loans and the net book value (“NBV”) of their related collateral, as of September 30, 2022,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70" w:type="dxa"/>
            <w:vAlign w:val="bottom"/>
          </w:tcPr>
          <w:p>
            <w:pPr>
              <w:spacing w:after="0"/>
              <w:rPr>
                <w:sz w:val="18"/>
                <w:szCs w:val="18"/>
                <w:color w:val="auto"/>
              </w:rPr>
            </w:pPr>
          </w:p>
        </w:tc>
        <w:tc>
          <w:tcPr>
            <w:tcW w:w="213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Long-</w:t>
            </w:r>
          </w:p>
        </w:tc>
        <w:tc>
          <w:tcPr>
            <w:tcW w:w="14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70" w:type="dxa"/>
            <w:vAlign w:val="bottom"/>
          </w:tcPr>
          <w:p>
            <w:pPr>
              <w:spacing w:after="0"/>
              <w:rPr>
                <w:sz w:val="18"/>
                <w:szCs w:val="18"/>
                <w:color w:val="auto"/>
              </w:rPr>
            </w:pPr>
          </w:p>
        </w:tc>
        <w:tc>
          <w:tcPr>
            <w:tcW w:w="213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Effective</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Monthly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term debt</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NBV of</w:t>
            </w:r>
          </w:p>
        </w:tc>
        <w:tc>
          <w:tcPr>
            <w:tcW w:w="880" w:type="dxa"/>
            <w:vAlign w:val="bottom"/>
          </w:tcPr>
          <w:p>
            <w:pPr>
              <w:spacing w:after="0"/>
              <w:rPr>
                <w:sz w:val="18"/>
                <w:szCs w:val="18"/>
                <w:color w:val="auto"/>
              </w:rPr>
            </w:pPr>
          </w:p>
        </w:tc>
      </w:tr>
      <w:tr>
        <w:trPr>
          <w:trHeight w:val="238"/>
        </w:trPr>
        <w:tc>
          <w:tcPr>
            <w:tcW w:w="2070" w:type="dxa"/>
            <w:vAlign w:val="bottom"/>
            <w:tcBorders>
              <w:bottom w:val="single" w:sz="8" w:color="auto"/>
            </w:tcBorders>
          </w:tcPr>
          <w:p>
            <w:pPr>
              <w:spacing w:after="0"/>
              <w:rPr>
                <w:sz w:val="20"/>
                <w:szCs w:val="20"/>
                <w:color w:val="auto"/>
              </w:rPr>
            </w:pPr>
          </w:p>
        </w:tc>
        <w:tc>
          <w:tcPr>
            <w:tcW w:w="213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13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Stated rate</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repayment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balance ($)</w:t>
            </w:r>
          </w:p>
        </w:tc>
        <w:tc>
          <w:tcPr>
            <w:tcW w:w="2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Collateral ($)  Collateral**</w:t>
            </w:r>
          </w:p>
        </w:tc>
      </w:tr>
      <w:tr>
        <w:trPr>
          <w:trHeight w:val="210"/>
        </w:trPr>
        <w:tc>
          <w:tcPr>
            <w:tcW w:w="207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Blockfills loan #3</w:t>
            </w:r>
          </w:p>
        </w:tc>
        <w:tc>
          <w:tcPr>
            <w:tcW w:w="213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October 2022</w:t>
            </w:r>
          </w:p>
        </w:tc>
        <w:tc>
          <w:tcPr>
            <w:tcW w:w="1320" w:type="dxa"/>
            <w:vAlign w:val="bottom"/>
            <w:gridSpan w:val="2"/>
            <w:shd w:val="clear" w:color="auto" w:fill="ECECEC"/>
          </w:tcPr>
          <w:p>
            <w:pPr>
              <w:jc w:val="right"/>
              <w:ind w:right="110"/>
              <w:spacing w:after="0"/>
              <w:rPr>
                <w:sz w:val="20"/>
                <w:szCs w:val="20"/>
                <w:color w:val="auto"/>
              </w:rPr>
            </w:pPr>
            <w:r>
              <w:rPr>
                <w:rFonts w:ascii="Times New Roman" w:cs="Times New Roman" w:eastAsia="Times New Roman" w:hAnsi="Times New Roman"/>
                <w:sz w:val="18"/>
                <w:szCs w:val="18"/>
                <w:color w:val="auto"/>
              </w:rPr>
              <w:t>18.6%</w:t>
            </w:r>
          </w:p>
        </w:tc>
        <w:tc>
          <w:tcPr>
            <w:tcW w:w="10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8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w:t>
            </w: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420" w:type="dxa"/>
            <w:vAlign w:val="bottom"/>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677</w:t>
            </w:r>
          </w:p>
        </w:tc>
        <w:tc>
          <w:tcPr>
            <w:tcW w:w="8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r>
      <w:tr>
        <w:trPr>
          <w:trHeight w:val="216"/>
        </w:trPr>
        <w:tc>
          <w:tcPr>
            <w:tcW w:w="207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Foundry loan #2</w:t>
            </w:r>
          </w:p>
        </w:tc>
        <w:tc>
          <w:tcPr>
            <w:tcW w:w="213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March 2023</w:t>
            </w:r>
          </w:p>
        </w:tc>
        <w:tc>
          <w:tcPr>
            <w:tcW w:w="1320" w:type="dxa"/>
            <w:vAlign w:val="bottom"/>
            <w:gridSpan w:val="2"/>
            <w:shd w:val="clear" w:color="auto" w:fill="ECECEC"/>
          </w:tcPr>
          <w:p>
            <w:pPr>
              <w:jc w:val="right"/>
              <w:ind w:right="110"/>
              <w:spacing w:after="0"/>
              <w:rPr>
                <w:sz w:val="20"/>
                <w:szCs w:val="20"/>
                <w:color w:val="auto"/>
              </w:rPr>
            </w:pPr>
            <w:r>
              <w:rPr>
                <w:rFonts w:ascii="Times New Roman" w:cs="Times New Roman" w:eastAsia="Times New Roman" w:hAnsi="Times New Roman"/>
                <w:sz w:val="18"/>
                <w:szCs w:val="18"/>
                <w:color w:val="auto"/>
              </w:rPr>
              <w:t>16.5%</w:t>
            </w:r>
          </w:p>
        </w:tc>
        <w:tc>
          <w:tcPr>
            <w:tcW w:w="10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w:t>
            </w: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462</w:t>
            </w:r>
          </w:p>
        </w:tc>
        <w:tc>
          <w:tcPr>
            <w:tcW w:w="1420" w:type="dxa"/>
            <w:vAlign w:val="bottom"/>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1,394</w:t>
            </w:r>
          </w:p>
        </w:tc>
        <w:tc>
          <w:tcPr>
            <w:tcW w:w="8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r>
      <w:tr>
        <w:trPr>
          <w:trHeight w:val="216"/>
        </w:trPr>
        <w:tc>
          <w:tcPr>
            <w:tcW w:w="207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Foundry loan #3</w:t>
            </w:r>
          </w:p>
        </w:tc>
        <w:tc>
          <w:tcPr>
            <w:tcW w:w="213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April 2023</w:t>
            </w:r>
          </w:p>
        </w:tc>
        <w:tc>
          <w:tcPr>
            <w:tcW w:w="1320" w:type="dxa"/>
            <w:vAlign w:val="bottom"/>
            <w:gridSpan w:val="2"/>
            <w:shd w:val="clear" w:color="auto" w:fill="ECECEC"/>
          </w:tcPr>
          <w:p>
            <w:pPr>
              <w:jc w:val="right"/>
              <w:ind w:right="110"/>
              <w:spacing w:after="0"/>
              <w:rPr>
                <w:sz w:val="20"/>
                <w:szCs w:val="20"/>
                <w:color w:val="auto"/>
              </w:rPr>
            </w:pPr>
            <w:r>
              <w:rPr>
                <w:rFonts w:ascii="Times New Roman" w:cs="Times New Roman" w:eastAsia="Times New Roman" w:hAnsi="Times New Roman"/>
                <w:sz w:val="18"/>
                <w:szCs w:val="18"/>
                <w:color w:val="auto"/>
              </w:rPr>
              <w:t>16.5%</w:t>
            </w:r>
          </w:p>
        </w:tc>
        <w:tc>
          <w:tcPr>
            <w:tcW w:w="10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w:t>
            </w: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1420" w:type="dxa"/>
            <w:vAlign w:val="bottom"/>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1,163</w:t>
            </w:r>
          </w:p>
        </w:tc>
        <w:tc>
          <w:tcPr>
            <w:tcW w:w="8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r>
      <w:tr>
        <w:trPr>
          <w:trHeight w:val="216"/>
        </w:trPr>
        <w:tc>
          <w:tcPr>
            <w:tcW w:w="207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Foundry loan #4</w:t>
            </w:r>
          </w:p>
        </w:tc>
        <w:tc>
          <w:tcPr>
            <w:tcW w:w="213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May 2023</w:t>
            </w:r>
          </w:p>
        </w:tc>
        <w:tc>
          <w:tcPr>
            <w:tcW w:w="1320" w:type="dxa"/>
            <w:vAlign w:val="bottom"/>
            <w:gridSpan w:val="2"/>
            <w:shd w:val="clear" w:color="auto" w:fill="ECECEC"/>
          </w:tcPr>
          <w:p>
            <w:pPr>
              <w:jc w:val="right"/>
              <w:ind w:right="110"/>
              <w:spacing w:after="0"/>
              <w:rPr>
                <w:sz w:val="20"/>
                <w:szCs w:val="20"/>
                <w:color w:val="auto"/>
              </w:rPr>
            </w:pPr>
            <w:r>
              <w:rPr>
                <w:rFonts w:ascii="Times New Roman" w:cs="Times New Roman" w:eastAsia="Times New Roman" w:hAnsi="Times New Roman"/>
                <w:sz w:val="18"/>
                <w:szCs w:val="18"/>
                <w:color w:val="auto"/>
              </w:rPr>
              <w:t>16.5%</w:t>
            </w:r>
          </w:p>
        </w:tc>
        <w:tc>
          <w:tcPr>
            <w:tcW w:w="10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102</w:t>
            </w: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1420" w:type="dxa"/>
            <w:vAlign w:val="bottom"/>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1,379</w:t>
            </w:r>
          </w:p>
        </w:tc>
        <w:tc>
          <w:tcPr>
            <w:tcW w:w="8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r>
      <w:tr>
        <w:trPr>
          <w:trHeight w:val="216"/>
        </w:trPr>
        <w:tc>
          <w:tcPr>
            <w:tcW w:w="207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Blockfi Loan</w:t>
            </w:r>
          </w:p>
        </w:tc>
        <w:tc>
          <w:tcPr>
            <w:tcW w:w="213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February 2024</w:t>
            </w:r>
          </w:p>
        </w:tc>
        <w:tc>
          <w:tcPr>
            <w:tcW w:w="1320" w:type="dxa"/>
            <w:vAlign w:val="bottom"/>
            <w:gridSpan w:val="2"/>
            <w:shd w:val="clear" w:color="auto" w:fill="ECECEC"/>
          </w:tcPr>
          <w:p>
            <w:pPr>
              <w:jc w:val="right"/>
              <w:ind w:right="110"/>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8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1,481</w:t>
            </w: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22,221</w:t>
            </w:r>
          </w:p>
        </w:tc>
        <w:tc>
          <w:tcPr>
            <w:tcW w:w="1420" w:type="dxa"/>
            <w:vAlign w:val="bottom"/>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31,688</w:t>
            </w:r>
          </w:p>
        </w:tc>
        <w:tc>
          <w:tcPr>
            <w:tcW w:w="8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6,100</w:t>
            </w:r>
          </w:p>
        </w:tc>
      </w:tr>
      <w:tr>
        <w:trPr>
          <w:trHeight w:val="243"/>
        </w:trPr>
        <w:tc>
          <w:tcPr>
            <w:tcW w:w="207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NYDIG Loan</w:t>
            </w:r>
          </w:p>
        </w:tc>
        <w:tc>
          <w:tcPr>
            <w:tcW w:w="213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February 2024</w:t>
            </w:r>
          </w:p>
        </w:tc>
        <w:tc>
          <w:tcPr>
            <w:tcW w:w="9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Borders>
              <w:bottom w:val="single" w:sz="8" w:color="auto"/>
            </w:tcBorders>
            <w:shd w:val="clear" w:color="auto" w:fill="ECECEC"/>
          </w:tcPr>
          <w:p>
            <w:pPr>
              <w:jc w:val="right"/>
              <w:ind w:right="110"/>
              <w:spacing w:after="0"/>
              <w:rPr>
                <w:sz w:val="20"/>
                <w:szCs w:val="20"/>
                <w:color w:val="auto"/>
              </w:rPr>
            </w:pPr>
            <w:r>
              <w:rPr>
                <w:rFonts w:ascii="Times New Roman" w:cs="Times New Roman" w:eastAsia="Times New Roman" w:hAnsi="Times New Roman"/>
                <w:sz w:val="18"/>
                <w:szCs w:val="18"/>
                <w:color w:val="auto"/>
                <w:w w:val="79"/>
              </w:rPr>
              <w:t>%</w:t>
            </w:r>
          </w:p>
        </w:tc>
        <w:tc>
          <w:tcPr>
            <w:tcW w:w="10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8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2,043</w:t>
            </w: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31,302</w:t>
            </w:r>
          </w:p>
        </w:tc>
        <w:tc>
          <w:tcPr>
            <w:tcW w:w="1420" w:type="dxa"/>
            <w:vAlign w:val="bottom"/>
            <w:tcBorders>
              <w:bottom w:val="single" w:sz="8" w:color="auto"/>
            </w:tcBorders>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38,661</w:t>
            </w:r>
          </w:p>
        </w:tc>
        <w:tc>
          <w:tcPr>
            <w:tcW w:w="8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10,395</w:t>
            </w:r>
          </w:p>
        </w:tc>
      </w:tr>
      <w:tr>
        <w:trPr>
          <w:trHeight w:val="243"/>
        </w:trPr>
        <w:tc>
          <w:tcPr>
            <w:tcW w:w="207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30" w:type="dxa"/>
            <w:vAlign w:val="bottom"/>
            <w:tcBorders>
              <w:bottom w:val="single" w:sz="8" w:color="auto"/>
            </w:tcBorders>
            <w:shd w:val="clear" w:color="auto" w:fill="ECECEC"/>
          </w:tcPr>
          <w:p>
            <w:pPr>
              <w:spacing w:after="0"/>
              <w:rPr>
                <w:sz w:val="21"/>
                <w:szCs w:val="21"/>
                <w:color w:val="auto"/>
              </w:rPr>
            </w:pPr>
          </w:p>
        </w:tc>
        <w:tc>
          <w:tcPr>
            <w:tcW w:w="980" w:type="dxa"/>
            <w:vAlign w:val="bottom"/>
            <w:tcBorders>
              <w:bottom w:val="single" w:sz="8" w:color="auto"/>
            </w:tcBorders>
            <w:shd w:val="clear" w:color="auto" w:fill="ECECEC"/>
          </w:tcPr>
          <w:p>
            <w:pPr>
              <w:spacing w:after="0"/>
              <w:rPr>
                <w:sz w:val="21"/>
                <w:szCs w:val="21"/>
                <w:color w:val="auto"/>
              </w:rPr>
            </w:pPr>
          </w:p>
        </w:tc>
        <w:tc>
          <w:tcPr>
            <w:tcW w:w="340" w:type="dxa"/>
            <w:vAlign w:val="bottom"/>
            <w:tcBorders>
              <w:bottom w:val="single" w:sz="8" w:color="auto"/>
            </w:tcBorders>
            <w:shd w:val="clear" w:color="auto" w:fill="ECECEC"/>
          </w:tcPr>
          <w:p>
            <w:pPr>
              <w:spacing w:after="0"/>
              <w:rPr>
                <w:sz w:val="21"/>
                <w:szCs w:val="21"/>
                <w:color w:val="auto"/>
              </w:rPr>
            </w:pPr>
          </w:p>
        </w:tc>
        <w:tc>
          <w:tcPr>
            <w:tcW w:w="1080" w:type="dxa"/>
            <w:vAlign w:val="bottom"/>
            <w:tcBorders>
              <w:bottom w:val="single" w:sz="8" w:color="auto"/>
            </w:tcBorders>
            <w:shd w:val="clear" w:color="auto" w:fill="ECECEC"/>
          </w:tcPr>
          <w:p>
            <w:pPr>
              <w:spacing w:after="0"/>
              <w:rPr>
                <w:sz w:val="21"/>
                <w:szCs w:val="21"/>
                <w:color w:val="auto"/>
              </w:rPr>
            </w:pPr>
          </w:p>
        </w:tc>
        <w:tc>
          <w:tcPr>
            <w:tcW w:w="128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3,827</w:t>
            </w: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55,193</w:t>
            </w:r>
          </w:p>
        </w:tc>
        <w:tc>
          <w:tcPr>
            <w:tcW w:w="1420" w:type="dxa"/>
            <w:vAlign w:val="bottom"/>
            <w:tcBorders>
              <w:bottom w:val="single" w:sz="8" w:color="auto"/>
            </w:tcBorders>
            <w:shd w:val="clear" w:color="auto" w:fill="ECECE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74,962</w:t>
            </w:r>
          </w:p>
        </w:tc>
        <w:tc>
          <w:tcPr>
            <w:tcW w:w="8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18,495</w:t>
            </w:r>
          </w:p>
        </w:tc>
      </w:tr>
    </w:tbl>
    <w:p>
      <w:pPr>
        <w:spacing w:after="0" w:line="198"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implied interest rate after capitalizing financing and origination fees.</w:t>
      </w:r>
    </w:p>
    <w:p>
      <w:pPr>
        <w:spacing w:after="0" w:line="225"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quantity of Whatsminers and Bitmain S19j Pros received in connection with the equipment financing and pledged as collateral for the related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12:</w:t>
        <w:tab/>
        <w:t>LEASES</w:t>
      </w:r>
    </w:p>
    <w:p>
      <w:pPr>
        <w:spacing w:after="0" w:line="22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Set out below are the carrying amounts of the Company’s right-of-use assets and lease liabilities and their activity during the nine months ended September 30,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Leased</w:t>
            </w:r>
          </w:p>
        </w:tc>
        <w:tc>
          <w:tcPr>
            <w:tcW w:w="1380" w:type="dxa"/>
            <w:vAlign w:val="bottom"/>
          </w:tcPr>
          <w:p>
            <w:pPr>
              <w:spacing w:after="0"/>
              <w:rPr>
                <w:sz w:val="18"/>
                <w:szCs w:val="18"/>
                <w:color w:val="auto"/>
              </w:rPr>
            </w:pPr>
          </w:p>
        </w:tc>
        <w:tc>
          <w:tcPr>
            <w:tcW w:w="15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 ROU</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Lease</w:t>
            </w:r>
          </w:p>
        </w:tc>
      </w:tr>
      <w:tr>
        <w:trPr>
          <w:trHeight w:val="238"/>
        </w:trPr>
        <w:tc>
          <w:tcPr>
            <w:tcW w:w="45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premises</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Vehicles</w:t>
            </w:r>
          </w:p>
        </w:tc>
        <w:tc>
          <w:tcPr>
            <w:tcW w:w="1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equipment</w:t>
            </w:r>
          </w:p>
        </w:tc>
        <w:tc>
          <w:tcPr>
            <w:tcW w:w="14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liabilities</w:t>
            </w:r>
          </w:p>
        </w:tc>
      </w:tr>
      <w:tr>
        <w:trPr>
          <w:trHeight w:val="237"/>
        </w:trPr>
        <w:tc>
          <w:tcPr>
            <w:tcW w:w="450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As at January 1, 2022</w:t>
            </w:r>
          </w:p>
        </w:tc>
        <w:tc>
          <w:tcPr>
            <w:tcW w:w="138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9,038</w:t>
            </w:r>
          </w:p>
        </w:tc>
        <w:tc>
          <w:tcPr>
            <w:tcW w:w="138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283</w:t>
            </w:r>
          </w:p>
        </w:tc>
        <w:tc>
          <w:tcPr>
            <w:tcW w:w="150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76</w:t>
            </w:r>
          </w:p>
        </w:tc>
        <w:tc>
          <w:tcPr>
            <w:tcW w:w="1400" w:type="dxa"/>
            <w:vAlign w:val="bottom"/>
            <w:tcBorders>
              <w:bottom w:val="single" w:sz="8" w:color="auto"/>
            </w:tcBorders>
            <w:shd w:val="clear" w:color="auto" w:fill="ECECE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9,397</w:t>
            </w:r>
          </w:p>
        </w:tc>
        <w:tc>
          <w:tcPr>
            <w:tcW w:w="108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13,573</w:t>
            </w:r>
          </w:p>
        </w:tc>
      </w:tr>
      <w:tr>
        <w:trPr>
          <w:trHeight w:val="209"/>
        </w:trPr>
        <w:tc>
          <w:tcPr>
            <w:tcW w:w="450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Additions and extensions to ROU assets</w:t>
            </w:r>
          </w:p>
        </w:tc>
        <w:tc>
          <w:tcPr>
            <w:tcW w:w="138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7,422</w:t>
            </w:r>
          </w:p>
        </w:tc>
        <w:tc>
          <w:tcPr>
            <w:tcW w:w="138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w:t>
            </w:r>
          </w:p>
        </w:tc>
        <w:tc>
          <w:tcPr>
            <w:tcW w:w="1500" w:type="dxa"/>
            <w:vAlign w:val="bottom"/>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1,634</w:t>
            </w:r>
          </w:p>
        </w:tc>
        <w:tc>
          <w:tcPr>
            <w:tcW w:w="1400" w:type="dxa"/>
            <w:vAlign w:val="bottom"/>
            <w:shd w:val="clear" w:color="auto" w:fill="ECECE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9,173</w:t>
            </w:r>
          </w:p>
        </w:tc>
        <w:tc>
          <w:tcPr>
            <w:tcW w:w="1080" w:type="dxa"/>
            <w:vAlign w:val="bottom"/>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9,182</w:t>
            </w:r>
          </w:p>
        </w:tc>
      </w:tr>
      <w:tr>
        <w:trPr>
          <w:trHeight w:val="216"/>
        </w:trPr>
        <w:tc>
          <w:tcPr>
            <w:tcW w:w="450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(1,291)</w:t>
            </w: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500" w:type="dxa"/>
            <w:vAlign w:val="bottom"/>
            <w:shd w:val="clear" w:color="auto" w:fill="ECECE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(72)</w:t>
            </w:r>
          </w:p>
        </w:tc>
        <w:tc>
          <w:tcPr>
            <w:tcW w:w="1400" w:type="dxa"/>
            <w:vAlign w:val="bottom"/>
            <w:shd w:val="clear" w:color="auto" w:fill="ECECE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(1,456)</w:t>
            </w:r>
          </w:p>
        </w:tc>
        <w:tc>
          <w:tcPr>
            <w:tcW w:w="1080" w:type="dxa"/>
            <w:vAlign w:val="bottom"/>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50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Lease termination</w:t>
            </w:r>
          </w:p>
        </w:tc>
        <w:tc>
          <w:tcPr>
            <w:tcW w:w="138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w:t>
            </w:r>
          </w:p>
        </w:tc>
        <w:tc>
          <w:tcPr>
            <w:tcW w:w="13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500" w:type="dxa"/>
            <w:vAlign w:val="bottom"/>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ECECE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(111)</w:t>
            </w:r>
          </w:p>
        </w:tc>
        <w:tc>
          <w:tcPr>
            <w:tcW w:w="10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r>
      <w:tr>
        <w:trPr>
          <w:trHeight w:val="216"/>
        </w:trPr>
        <w:tc>
          <w:tcPr>
            <w:tcW w:w="450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Impairment</w:t>
            </w:r>
          </w:p>
        </w:tc>
        <w:tc>
          <w:tcPr>
            <w:tcW w:w="138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(453)</w:t>
            </w:r>
          </w:p>
        </w:tc>
        <w:tc>
          <w:tcPr>
            <w:tcW w:w="138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ECECE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(1,195)</w:t>
            </w:r>
          </w:p>
        </w:tc>
        <w:tc>
          <w:tcPr>
            <w:tcW w:w="1400" w:type="dxa"/>
            <w:vAlign w:val="bottom"/>
            <w:shd w:val="clear" w:color="auto" w:fill="ECECE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(1,648)</w:t>
            </w:r>
          </w:p>
        </w:tc>
        <w:tc>
          <w:tcPr>
            <w:tcW w:w="1080" w:type="dxa"/>
            <w:vAlign w:val="bottom"/>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50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Payments</w:t>
            </w:r>
          </w:p>
        </w:tc>
        <w:tc>
          <w:tcPr>
            <w:tcW w:w="138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ECECE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(5,156)</w:t>
            </w:r>
          </w:p>
        </w:tc>
      </w:tr>
      <w:tr>
        <w:trPr>
          <w:trHeight w:val="216"/>
        </w:trPr>
        <w:tc>
          <w:tcPr>
            <w:tcW w:w="4500" w:type="dxa"/>
            <w:vAlign w:val="bottom"/>
            <w:shd w:val="clear" w:color="auto" w:fill="ECECEC"/>
          </w:tcPr>
          <w:p>
            <w:pPr>
              <w:spacing w:after="0"/>
              <w:rPr>
                <w:sz w:val="20"/>
                <w:szCs w:val="20"/>
                <w:color w:val="auto"/>
              </w:rPr>
            </w:pPr>
            <w:r>
              <w:rPr>
                <w:rFonts w:ascii="Times New Roman" w:cs="Times New Roman" w:eastAsia="Times New Roman" w:hAnsi="Times New Roman"/>
                <w:sz w:val="18"/>
                <w:szCs w:val="18"/>
                <w:color w:val="auto"/>
              </w:rPr>
              <w:t>Interest</w:t>
            </w:r>
          </w:p>
        </w:tc>
        <w:tc>
          <w:tcPr>
            <w:tcW w:w="138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ECECE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1,034</w:t>
            </w:r>
          </w:p>
        </w:tc>
      </w:tr>
      <w:tr>
        <w:trPr>
          <w:trHeight w:val="243"/>
        </w:trPr>
        <w:tc>
          <w:tcPr>
            <w:tcW w:w="450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138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shd w:val="clear" w:color="auto" w:fill="ECECE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(1,038)</w:t>
            </w:r>
          </w:p>
        </w:tc>
      </w:tr>
      <w:tr>
        <w:trPr>
          <w:trHeight w:val="237"/>
        </w:trPr>
        <w:tc>
          <w:tcPr>
            <w:tcW w:w="450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As at September 30, 2022</w:t>
            </w:r>
          </w:p>
        </w:tc>
        <w:tc>
          <w:tcPr>
            <w:tcW w:w="138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14,612</w:t>
            </w:r>
          </w:p>
        </w:tc>
        <w:tc>
          <w:tcPr>
            <w:tcW w:w="1380" w:type="dxa"/>
            <w:vAlign w:val="bottom"/>
            <w:tcBorders>
              <w:bottom w:val="single" w:sz="8" w:color="auto"/>
            </w:tcBorders>
            <w:shd w:val="clear" w:color="auto" w:fill="ECECE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300</w:t>
            </w:r>
          </w:p>
        </w:tc>
        <w:tc>
          <w:tcPr>
            <w:tcW w:w="1500" w:type="dxa"/>
            <w:vAlign w:val="bottom"/>
            <w:tcBorders>
              <w:bottom w:val="single" w:sz="8" w:color="auto"/>
            </w:tcBorders>
            <w:shd w:val="clear" w:color="auto" w:fill="ECECE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443</w:t>
            </w:r>
          </w:p>
        </w:tc>
        <w:tc>
          <w:tcPr>
            <w:tcW w:w="1400" w:type="dxa"/>
            <w:vAlign w:val="bottom"/>
            <w:tcBorders>
              <w:bottom w:val="single" w:sz="8" w:color="auto"/>
            </w:tcBorders>
            <w:shd w:val="clear" w:color="auto" w:fill="ECECE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15,355</w:t>
            </w:r>
          </w:p>
        </w:tc>
        <w:tc>
          <w:tcPr>
            <w:tcW w:w="108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17,483</w:t>
            </w:r>
          </w:p>
        </w:tc>
      </w:tr>
      <w:tr>
        <w:trPr>
          <w:trHeight w:val="236"/>
        </w:trPr>
        <w:tc>
          <w:tcPr>
            <w:tcW w:w="450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color w:val="auto"/>
              </w:rPr>
              <w:t>Less current portion of lease liabilities</w:t>
            </w:r>
          </w:p>
        </w:tc>
        <w:tc>
          <w:tcPr>
            <w:tcW w:w="1380" w:type="dxa"/>
            <w:vAlign w:val="bottom"/>
            <w:tcBorders>
              <w:bottom w:val="single" w:sz="8" w:color="auto"/>
            </w:tcBorders>
            <w:shd w:val="clear" w:color="auto" w:fill="ECECEC"/>
          </w:tcPr>
          <w:p>
            <w:pPr>
              <w:spacing w:after="0"/>
              <w:rPr>
                <w:sz w:val="20"/>
                <w:szCs w:val="20"/>
                <w:color w:val="auto"/>
              </w:rPr>
            </w:pPr>
          </w:p>
        </w:tc>
        <w:tc>
          <w:tcPr>
            <w:tcW w:w="1380" w:type="dxa"/>
            <w:vAlign w:val="bottom"/>
            <w:tcBorders>
              <w:bottom w:val="single" w:sz="8" w:color="auto"/>
            </w:tcBorders>
            <w:shd w:val="clear" w:color="auto" w:fill="ECECEC"/>
          </w:tcPr>
          <w:p>
            <w:pPr>
              <w:spacing w:after="0"/>
              <w:rPr>
                <w:sz w:val="20"/>
                <w:szCs w:val="20"/>
                <w:color w:val="auto"/>
              </w:rPr>
            </w:pPr>
          </w:p>
        </w:tc>
        <w:tc>
          <w:tcPr>
            <w:tcW w:w="1500" w:type="dxa"/>
            <w:vAlign w:val="bottom"/>
            <w:tcBorders>
              <w:bottom w:val="single" w:sz="8" w:color="auto"/>
            </w:tcBorders>
            <w:shd w:val="clear" w:color="auto" w:fill="ECECEC"/>
          </w:tcPr>
          <w:p>
            <w:pPr>
              <w:spacing w:after="0"/>
              <w:rPr>
                <w:sz w:val="20"/>
                <w:szCs w:val="20"/>
                <w:color w:val="auto"/>
              </w:rPr>
            </w:pPr>
          </w:p>
        </w:tc>
        <w:tc>
          <w:tcPr>
            <w:tcW w:w="1400" w:type="dxa"/>
            <w:vAlign w:val="bottom"/>
            <w:tcBorders>
              <w:bottom w:val="single" w:sz="8" w:color="auto"/>
            </w:tcBorders>
            <w:shd w:val="clear" w:color="auto" w:fill="ECECEC"/>
          </w:tcPr>
          <w:p>
            <w:pPr>
              <w:spacing w:after="0"/>
              <w:rPr>
                <w:sz w:val="20"/>
                <w:szCs w:val="20"/>
                <w:color w:val="auto"/>
              </w:rPr>
            </w:pPr>
          </w:p>
        </w:tc>
        <w:tc>
          <w:tcPr>
            <w:tcW w:w="10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(3,926)</w:t>
            </w:r>
          </w:p>
        </w:tc>
      </w:tr>
      <w:tr>
        <w:trPr>
          <w:trHeight w:val="244"/>
        </w:trPr>
        <w:tc>
          <w:tcPr>
            <w:tcW w:w="450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lease liabilities</w:t>
            </w:r>
          </w:p>
        </w:tc>
        <w:tc>
          <w:tcPr>
            <w:tcW w:w="1380" w:type="dxa"/>
            <w:vAlign w:val="bottom"/>
            <w:tcBorders>
              <w:bottom w:val="single" w:sz="8" w:color="auto"/>
            </w:tcBorders>
            <w:shd w:val="clear" w:color="auto" w:fill="ECECEC"/>
          </w:tcPr>
          <w:p>
            <w:pPr>
              <w:spacing w:after="0"/>
              <w:rPr>
                <w:sz w:val="21"/>
                <w:szCs w:val="21"/>
                <w:color w:val="auto"/>
              </w:rPr>
            </w:pPr>
          </w:p>
        </w:tc>
        <w:tc>
          <w:tcPr>
            <w:tcW w:w="1380" w:type="dxa"/>
            <w:vAlign w:val="bottom"/>
            <w:tcBorders>
              <w:bottom w:val="single" w:sz="8" w:color="auto"/>
            </w:tcBorders>
            <w:shd w:val="clear" w:color="auto" w:fill="ECECEC"/>
          </w:tcPr>
          <w:p>
            <w:pPr>
              <w:spacing w:after="0"/>
              <w:rPr>
                <w:sz w:val="21"/>
                <w:szCs w:val="21"/>
                <w:color w:val="auto"/>
              </w:rPr>
            </w:pPr>
          </w:p>
        </w:tc>
        <w:tc>
          <w:tcPr>
            <w:tcW w:w="1500" w:type="dxa"/>
            <w:vAlign w:val="bottom"/>
            <w:tcBorders>
              <w:bottom w:val="single" w:sz="8" w:color="auto"/>
            </w:tcBorders>
            <w:shd w:val="clear" w:color="auto" w:fill="ECECEC"/>
          </w:tcPr>
          <w:p>
            <w:pPr>
              <w:spacing w:after="0"/>
              <w:rPr>
                <w:sz w:val="21"/>
                <w:szCs w:val="21"/>
                <w:color w:val="auto"/>
              </w:rPr>
            </w:pPr>
          </w:p>
        </w:tc>
        <w:tc>
          <w:tcPr>
            <w:tcW w:w="1400" w:type="dxa"/>
            <w:vAlign w:val="bottom"/>
            <w:tcBorders>
              <w:bottom w:val="single" w:sz="8" w:color="auto"/>
            </w:tcBorders>
            <w:shd w:val="clear" w:color="auto" w:fill="ECECEC"/>
          </w:tcPr>
          <w:p>
            <w:pPr>
              <w:spacing w:after="0"/>
              <w:rPr>
                <w:sz w:val="21"/>
                <w:szCs w:val="21"/>
                <w:color w:val="auto"/>
              </w:rPr>
            </w:pPr>
          </w:p>
        </w:tc>
        <w:tc>
          <w:tcPr>
            <w:tcW w:w="1080" w:type="dxa"/>
            <w:vAlign w:val="bottom"/>
            <w:tcBorders>
              <w:bottom w:val="single" w:sz="8" w:color="auto"/>
            </w:tcBorders>
            <w:shd w:val="clear" w:color="auto" w:fill="ECECE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13,557</w:t>
            </w:r>
          </w:p>
        </w:tc>
      </w:tr>
    </w:tbl>
    <w:p>
      <w:pPr>
        <w:spacing w:after="0" w:line="198" w:lineRule="exact"/>
        <w:rPr>
          <w:sz w:val="20"/>
          <w:szCs w:val="20"/>
          <w:color w:val="auto"/>
        </w:rPr>
      </w:pPr>
    </w:p>
    <w:p>
      <w:pPr>
        <w:jc w:val="both"/>
        <w:ind w:left="20" w:hanging="9"/>
        <w:spacing w:after="0" w:line="282" w:lineRule="auto"/>
        <w:rPr>
          <w:sz w:val="20"/>
          <w:szCs w:val="20"/>
          <w:color w:val="auto"/>
        </w:rPr>
      </w:pPr>
      <w:r>
        <w:rPr>
          <w:rFonts w:ascii="Times New Roman" w:cs="Times New Roman" w:eastAsia="Times New Roman" w:hAnsi="Times New Roman"/>
          <w:sz w:val="18"/>
          <w:szCs w:val="18"/>
          <w:color w:val="auto"/>
        </w:rPr>
        <w:t>The Company maintains one lease agreement for mining hardware, consisting of 3,000 Whatsminer M31S+ miners, with a net book value of approximately $3,838, classified as property, plant and equipment under BVVE and electrical equipment as described in Note 6.</w:t>
      </w:r>
    </w:p>
    <w:p>
      <w:pPr>
        <w:spacing w:after="0" w:line="162"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an impairment charge of $1,648 on the Company’s right-of-use assets which was included in profit or loss under Impairment on equipment and construction prepayments, property, plant and equipment and right-of-use assets. Refer to Note 6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9"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taxes</w:t>
      </w:r>
    </w:p>
    <w:p>
      <w:pPr>
        <w:spacing w:after="0" w:line="229"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Deferred taxes are computed at a tax rate of 26.5% based on tax rates expected to apply at the time of realization. Deferred taxes relate primarily to the timing differences on recognition of expenses relating to the depreciation of fixed assets, loss carryforwards and professional fees relating to the Company’s equity activity that are recorded as a reduction of equity.</w:t>
      </w:r>
    </w:p>
    <w:p>
      <w:pPr>
        <w:spacing w:after="0" w:line="176"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As at September 30, 2022, the recoverability of the net deferred tax asset, due to the impact of the decrease in BTC prices as described in Note 1, was uncertain and as a result, the net deferred tax asset of $43,408 was not recognized. The Company will evaluate the likelihood of recoverability at each balance sheet date, and will recognize net deferred tax asset when and if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deferred income tax expense (recovery)</w:t>
      </w:r>
    </w:p>
    <w:p>
      <w:pPr>
        <w:spacing w:after="0" w:line="252"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5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shd w:val="clear" w:color="auto" w:fill="ECECEC"/>
          </w:tcPr>
          <w:p>
            <w:pPr>
              <w:spacing w:after="0"/>
              <w:rPr>
                <w:sz w:val="20"/>
                <w:szCs w:val="20"/>
                <w:color w:val="auto"/>
              </w:rPr>
            </w:pP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tax (recovery) expense:</w:t>
            </w:r>
          </w:p>
        </w:tc>
        <w:tc>
          <w:tcPr>
            <w:tcW w:w="120" w:type="dxa"/>
            <w:vAlign w:val="bottom"/>
            <w:shd w:val="clear" w:color="auto" w:fill="ECECEC"/>
          </w:tcPr>
          <w:p>
            <w:pPr>
              <w:spacing w:after="0"/>
              <w:rPr>
                <w:sz w:val="18"/>
                <w:szCs w:val="18"/>
                <w:color w:val="auto"/>
              </w:rPr>
            </w:pPr>
          </w:p>
        </w:tc>
        <w:tc>
          <w:tcPr>
            <w:tcW w:w="10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(9,220)</w:t>
            </w:r>
          </w:p>
        </w:tc>
        <w:tc>
          <w:tcPr>
            <w:tcW w:w="100" w:type="dxa"/>
            <w:vAlign w:val="bottom"/>
            <w:shd w:val="clear" w:color="auto" w:fill="ECECE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20" w:type="dxa"/>
            <w:vAlign w:val="bottom"/>
            <w:shd w:val="clear" w:color="auto" w:fill="ECECEC"/>
          </w:tcPr>
          <w:p>
            <w:pPr>
              <w:spacing w:after="0"/>
              <w:rPr>
                <w:sz w:val="18"/>
                <w:szCs w:val="18"/>
                <w:color w:val="auto"/>
              </w:rPr>
            </w:pPr>
          </w:p>
        </w:tc>
        <w:tc>
          <w:tcPr>
            <w:tcW w:w="106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7,038</w:t>
            </w:r>
          </w:p>
        </w:tc>
        <w:tc>
          <w:tcPr>
            <w:tcW w:w="0" w:type="dxa"/>
            <w:vAlign w:val="bottom"/>
          </w:tcPr>
          <w:p>
            <w:pPr>
              <w:spacing w:after="0"/>
              <w:rPr>
                <w:sz w:val="1"/>
                <w:szCs w:val="1"/>
                <w:color w:val="auto"/>
              </w:rPr>
            </w:pPr>
          </w:p>
        </w:tc>
      </w:tr>
      <w:tr>
        <w:trPr>
          <w:trHeight w:val="238"/>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Prior year</w:t>
            </w:r>
          </w:p>
        </w:tc>
        <w:tc>
          <w:tcPr>
            <w:tcW w:w="120" w:type="dxa"/>
            <w:vAlign w:val="bottom"/>
            <w:shd w:val="clear" w:color="auto" w:fill="ECECEC"/>
          </w:tcPr>
          <w:p>
            <w:pPr>
              <w:spacing w:after="0"/>
              <w:rPr>
                <w:sz w:val="20"/>
                <w:szCs w:val="20"/>
                <w:color w:val="auto"/>
              </w:rPr>
            </w:pPr>
          </w:p>
        </w:tc>
        <w:tc>
          <w:tcPr>
            <w:tcW w:w="10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00" w:type="dxa"/>
            <w:vAlign w:val="bottom"/>
            <w:shd w:val="clear" w:color="auto" w:fill="ECECEC"/>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391"/>
        </w:trPr>
        <w:tc>
          <w:tcPr>
            <w:tcW w:w="8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(recovery) expense:</w:t>
            </w:r>
          </w:p>
        </w:tc>
        <w:tc>
          <w:tcPr>
            <w:tcW w:w="120" w:type="dxa"/>
            <w:vAlign w:val="bottom"/>
            <w:shd w:val="clear" w:color="auto" w:fill="ECECEC"/>
          </w:tcPr>
          <w:p>
            <w:pPr>
              <w:spacing w:after="0"/>
              <w:rPr>
                <w:sz w:val="24"/>
                <w:szCs w:val="24"/>
                <w:color w:val="auto"/>
              </w:rPr>
            </w:pPr>
          </w:p>
        </w:tc>
        <w:tc>
          <w:tcPr>
            <w:tcW w:w="10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(8,600)</w:t>
            </w:r>
          </w:p>
        </w:tc>
        <w:tc>
          <w:tcPr>
            <w:tcW w:w="100" w:type="dxa"/>
            <w:vAlign w:val="bottom"/>
            <w:shd w:val="clear" w:color="auto" w:fill="ECECEC"/>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Current year</w:t>
            </w:r>
          </w:p>
        </w:tc>
        <w:tc>
          <w:tcPr>
            <w:tcW w:w="120" w:type="dxa"/>
            <w:vAlign w:val="bottom"/>
            <w:shd w:val="clear" w:color="auto" w:fill="ECECEC"/>
          </w:tcPr>
          <w:p>
            <w:pPr>
              <w:spacing w:after="0"/>
              <w:rPr>
                <w:sz w:val="20"/>
                <w:szCs w:val="20"/>
                <w:color w:val="auto"/>
              </w:rPr>
            </w:pPr>
          </w:p>
        </w:tc>
        <w:tc>
          <w:tcPr>
            <w:tcW w:w="1060" w:type="dxa"/>
            <w:vAlign w:val="bottom"/>
            <w:vMerge w:val="continue"/>
            <w:shd w:val="clear" w:color="auto" w:fill="ECECEC"/>
          </w:tcPr>
          <w:p>
            <w:pPr>
              <w:spacing w:after="0"/>
              <w:rPr>
                <w:sz w:val="20"/>
                <w:szCs w:val="20"/>
                <w:color w:val="auto"/>
              </w:rPr>
            </w:pPr>
          </w:p>
        </w:tc>
        <w:tc>
          <w:tcPr>
            <w:tcW w:w="100" w:type="dxa"/>
            <w:vAlign w:val="bottom"/>
            <w:shd w:val="clear" w:color="auto" w:fill="ECECEC"/>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5,725</w:t>
            </w:r>
          </w:p>
        </w:tc>
        <w:tc>
          <w:tcPr>
            <w:tcW w:w="0" w:type="dxa"/>
            <w:vAlign w:val="bottom"/>
          </w:tcPr>
          <w:p>
            <w:pPr>
              <w:spacing w:after="0"/>
              <w:rPr>
                <w:sz w:val="1"/>
                <w:szCs w:val="1"/>
                <w:color w:val="auto"/>
              </w:rPr>
            </w:pPr>
          </w:p>
        </w:tc>
      </w:tr>
      <w:tr>
        <w:trPr>
          <w:trHeight w:val="243"/>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Prior year</w:t>
            </w:r>
          </w:p>
        </w:tc>
        <w:tc>
          <w:tcPr>
            <w:tcW w:w="120" w:type="dxa"/>
            <w:vAlign w:val="bottom"/>
            <w:tcBorders>
              <w:bottom w:val="single" w:sz="8" w:color="auto"/>
            </w:tcBorders>
            <w:shd w:val="clear" w:color="auto" w:fill="ECECEC"/>
          </w:tcPr>
          <w:p>
            <w:pPr>
              <w:spacing w:after="0"/>
              <w:rPr>
                <w:sz w:val="21"/>
                <w:szCs w:val="21"/>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Borders>
              <w:bottom w:val="single" w:sz="8" w:color="auto"/>
            </w:tcBorders>
            <w:shd w:val="clear" w:color="auto" w:fill="ECECEC"/>
          </w:tcPr>
          <w:p>
            <w:pPr>
              <w:spacing w:after="0"/>
              <w:rPr>
                <w:sz w:val="21"/>
                <w:szCs w:val="21"/>
                <w:color w:val="auto"/>
              </w:rPr>
            </w:pP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44"/>
        </w:trPr>
        <w:tc>
          <w:tcPr>
            <w:tcW w:w="85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shd w:val="clear" w:color="auto" w:fill="ECECEC"/>
          </w:tcPr>
          <w:p>
            <w:pPr>
              <w:spacing w:after="0"/>
              <w:rPr>
                <w:sz w:val="21"/>
                <w:szCs w:val="21"/>
                <w:color w:val="auto"/>
              </w:rPr>
            </w:pPr>
          </w:p>
        </w:tc>
        <w:tc>
          <w:tcPr>
            <w:tcW w:w="10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(17,603</w:t>
            </w:r>
          </w:p>
        </w:tc>
        <w:tc>
          <w:tcPr>
            <w:tcW w:w="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12,247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hanging="4"/>
        <w:spacing w:after="0" w:line="282" w:lineRule="auto"/>
        <w:rPr>
          <w:sz w:val="20"/>
          <w:szCs w:val="20"/>
          <w:color w:val="auto"/>
        </w:rPr>
      </w:pPr>
      <w:r>
        <w:rPr>
          <w:rFonts w:ascii="Times New Roman" w:cs="Times New Roman" w:eastAsia="Times New Roman" w:hAnsi="Times New Roman"/>
          <w:sz w:val="18"/>
          <w:szCs w:val="18"/>
          <w:color w:val="auto"/>
        </w:rPr>
        <w:t>The 2022 current tax recovery represents the expected tax refund as a result of losses realized in the current period that will be carried back to offset prior period taxable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Pr>
          <w:p>
            <w:pPr>
              <w:spacing w:after="0"/>
              <w:rPr>
                <w:sz w:val="18"/>
                <w:szCs w:val="18"/>
                <w:color w:val="auto"/>
              </w:rPr>
            </w:pPr>
          </w:p>
        </w:tc>
        <w:tc>
          <w:tcPr>
            <w:tcW w:w="160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96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6"/>
        </w:trPr>
        <w:tc>
          <w:tcPr>
            <w:tcW w:w="964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ECECEC"/>
            </w:tcBorders>
            <w:shd w:val="clear" w:color="auto" w:fill="ECECEC"/>
          </w:tcPr>
          <w:p>
            <w:pPr>
              <w:spacing w:after="0"/>
              <w:rPr>
                <w:sz w:val="20"/>
                <w:szCs w:val="20"/>
                <w:color w:val="auto"/>
              </w:rPr>
            </w:pPr>
          </w:p>
        </w:tc>
        <w:tc>
          <w:tcPr>
            <w:tcW w:w="760" w:type="dxa"/>
            <w:vAlign w:val="bottom"/>
            <w:tcBorders>
              <w:bottom w:val="single" w:sz="8" w:color="auto"/>
            </w:tcBorders>
            <w:gridSpan w:val="2"/>
            <w:shd w:val="clear" w:color="auto" w:fill="ECECEC"/>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10"/>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recovery at statutory rate of 26.5%</w:t>
            </w:r>
          </w:p>
        </w:tc>
        <w:tc>
          <w:tcPr>
            <w:tcW w:w="840" w:type="dxa"/>
            <w:vAlign w:val="bottom"/>
            <w:tcBorders>
              <w:right w:val="single" w:sz="8" w:color="ECECEC"/>
            </w:tcBorders>
            <w:shd w:val="clear" w:color="auto" w:fill="ECECEC"/>
          </w:tcPr>
          <w:p>
            <w:pPr>
              <w:spacing w:after="0"/>
              <w:rPr>
                <w:sz w:val="18"/>
                <w:szCs w:val="18"/>
                <w:color w:val="auto"/>
              </w:rPr>
            </w:pPr>
          </w:p>
        </w:tc>
        <w:tc>
          <w:tcPr>
            <w:tcW w:w="76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(63,550)</w:t>
            </w: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Increase in taxes resulting from:</w:t>
            </w:r>
          </w:p>
        </w:tc>
        <w:tc>
          <w:tcPr>
            <w:tcW w:w="840" w:type="dxa"/>
            <w:vAlign w:val="bottom"/>
            <w:tcBorders>
              <w:right w:val="single" w:sz="8" w:color="ECECEC"/>
            </w:tcBorders>
            <w:shd w:val="clear" w:color="auto" w:fill="ECECEC"/>
          </w:tcPr>
          <w:p>
            <w:pPr>
              <w:spacing w:after="0"/>
              <w:rPr>
                <w:sz w:val="18"/>
                <w:szCs w:val="18"/>
                <w:color w:val="auto"/>
              </w:rPr>
            </w:pPr>
          </w:p>
        </w:tc>
        <w:tc>
          <w:tcPr>
            <w:tcW w:w="6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1,252</w:t>
            </w:r>
          </w:p>
        </w:tc>
        <w:tc>
          <w:tcPr>
            <w:tcW w:w="100" w:type="dxa"/>
            <w:vAlign w:val="bottom"/>
            <w:shd w:val="clear" w:color="auto" w:fill="ECECE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96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Foreign tax rate differential</w:t>
            </w:r>
          </w:p>
        </w:tc>
        <w:tc>
          <w:tcPr>
            <w:tcW w:w="840" w:type="dxa"/>
            <w:vAlign w:val="bottom"/>
            <w:tcBorders>
              <w:right w:val="single" w:sz="8" w:color="ECECEC"/>
            </w:tcBorders>
            <w:shd w:val="clear" w:color="auto" w:fill="ECECEC"/>
          </w:tcPr>
          <w:p>
            <w:pPr>
              <w:spacing w:after="0"/>
              <w:rPr>
                <w:sz w:val="16"/>
                <w:szCs w:val="16"/>
                <w:color w:val="auto"/>
              </w:rPr>
            </w:pPr>
          </w:p>
        </w:tc>
        <w:tc>
          <w:tcPr>
            <w:tcW w:w="660" w:type="dxa"/>
            <w:vAlign w:val="bottom"/>
            <w:vMerge w:val="continue"/>
            <w:shd w:val="clear" w:color="auto" w:fill="ECECEC"/>
          </w:tcPr>
          <w:p>
            <w:pPr>
              <w:spacing w:after="0"/>
              <w:rPr>
                <w:sz w:val="16"/>
                <w:szCs w:val="16"/>
                <w:color w:val="auto"/>
              </w:rPr>
            </w:pPr>
          </w:p>
        </w:tc>
        <w:tc>
          <w:tcPr>
            <w:tcW w:w="100" w:type="dxa"/>
            <w:vAlign w:val="bottom"/>
            <w:shd w:val="clear" w:color="auto" w:fill="ECECE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Prior year</w:t>
            </w:r>
          </w:p>
        </w:tc>
        <w:tc>
          <w:tcPr>
            <w:tcW w:w="840" w:type="dxa"/>
            <w:vAlign w:val="bottom"/>
            <w:tcBorders>
              <w:right w:val="single" w:sz="8" w:color="ECECEC"/>
            </w:tcBorders>
            <w:shd w:val="clear" w:color="auto" w:fill="ECECEC"/>
          </w:tcPr>
          <w:p>
            <w:pPr>
              <w:spacing w:after="0"/>
              <w:rPr>
                <w:sz w:val="18"/>
                <w:szCs w:val="18"/>
                <w:color w:val="auto"/>
              </w:rPr>
            </w:pPr>
          </w:p>
        </w:tc>
        <w:tc>
          <w:tcPr>
            <w:tcW w:w="6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c>
          <w:tcPr>
            <w:tcW w:w="100" w:type="dxa"/>
            <w:vAlign w:val="bottom"/>
            <w:shd w:val="clear" w:color="auto" w:fill="ECECE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6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 and other</w:t>
            </w:r>
          </w:p>
        </w:tc>
        <w:tc>
          <w:tcPr>
            <w:tcW w:w="840" w:type="dxa"/>
            <w:vAlign w:val="bottom"/>
            <w:tcBorders>
              <w:right w:val="single" w:sz="8" w:color="ECECEC"/>
            </w:tcBorders>
            <w:shd w:val="clear" w:color="auto" w:fill="ECECEC"/>
          </w:tcPr>
          <w:p>
            <w:pPr>
              <w:spacing w:after="0"/>
              <w:rPr>
                <w:sz w:val="20"/>
                <w:szCs w:val="20"/>
                <w:color w:val="auto"/>
              </w:rPr>
            </w:pPr>
          </w:p>
        </w:tc>
        <w:tc>
          <w:tcPr>
            <w:tcW w:w="6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1,070</w:t>
            </w:r>
          </w:p>
        </w:tc>
        <w:tc>
          <w:tcPr>
            <w:tcW w:w="100" w:type="dxa"/>
            <w:vAlign w:val="bottom"/>
            <w:shd w:val="clear" w:color="auto" w:fill="ECECE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 not recognized</w:t>
            </w:r>
          </w:p>
        </w:tc>
        <w:tc>
          <w:tcPr>
            <w:tcW w:w="840" w:type="dxa"/>
            <w:vAlign w:val="bottom"/>
            <w:tcBorders>
              <w:bottom w:val="single" w:sz="8" w:color="auto"/>
              <w:right w:val="single" w:sz="8" w:color="ECECEC"/>
            </w:tcBorders>
            <w:shd w:val="clear" w:color="auto" w:fill="ECECEC"/>
          </w:tcPr>
          <w:p>
            <w:pPr>
              <w:spacing w:after="0"/>
              <w:rPr>
                <w:sz w:val="21"/>
                <w:szCs w:val="21"/>
                <w:color w:val="auto"/>
              </w:rPr>
            </w:pP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43,408</w:t>
            </w:r>
          </w:p>
        </w:tc>
        <w:tc>
          <w:tcPr>
            <w:tcW w:w="100" w:type="dxa"/>
            <w:vAlign w:val="bottom"/>
            <w:tcBorders>
              <w:bottom w:val="single" w:sz="8" w:color="auto"/>
            </w:tcBorders>
            <w:shd w:val="clear" w:color="auto" w:fill="ECECE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4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ECECEC"/>
            </w:tcBorders>
            <w:shd w:val="clear" w:color="auto" w:fill="ECECEC"/>
          </w:tcPr>
          <w:p>
            <w:pPr>
              <w:spacing w:after="0"/>
              <w:rPr>
                <w:sz w:val="21"/>
                <w:szCs w:val="21"/>
                <w:color w:val="auto"/>
              </w:rPr>
            </w:pP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(17,603</w:t>
            </w:r>
          </w:p>
        </w:tc>
        <w:tc>
          <w:tcPr>
            <w:tcW w:w="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439"/>
        </w:trPr>
        <w:tc>
          <w:tcPr>
            <w:tcW w:w="1048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80" w:type="dxa"/>
            <w:vAlign w:val="bottom"/>
            <w:tcBorders>
              <w:right w:val="single" w:sz="8" w:color="auto"/>
            </w:tcBorders>
            <w:gridSpan w:val="2"/>
          </w:tcPr>
          <w:p>
            <w:pPr>
              <w:ind w:left="10200"/>
              <w:spacing w:after="0"/>
              <w:rPr>
                <w:sz w:val="20"/>
                <w:szCs w:val="20"/>
                <w:color w:val="auto"/>
              </w:rPr>
            </w:pPr>
            <w:r>
              <w:rPr>
                <w:rFonts w:ascii="Times New Roman" w:cs="Times New Roman" w:eastAsia="Times New Roman" w:hAnsi="Times New Roman"/>
                <w:sz w:val="18"/>
                <w:szCs w:val="18"/>
                <w:color w:val="auto"/>
              </w:rPr>
              <w:t>25</w:t>
            </w: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ASSET RETIREMENT PROVISION</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124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239</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Additions during the period</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1,493</w:t>
            </w:r>
          </w:p>
        </w:tc>
        <w:tc>
          <w:tcPr>
            <w:tcW w:w="120" w:type="dxa"/>
            <w:vAlign w:val="bottom"/>
            <w:shd w:val="clear" w:color="auto" w:fill="ECECEC"/>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1"/>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2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8"/>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Effect of change in the foreign exchange rate</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bottom w:val="single" w:sz="8" w:color="auto"/>
            </w:tcBorders>
            <w:vMerge w:val="continue"/>
            <w:shd w:val="clear" w:color="auto" w:fill="ECECEC"/>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period end</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1,778</w:t>
            </w:r>
          </w:p>
        </w:tc>
        <w:tc>
          <w:tcPr>
            <w:tcW w:w="120" w:type="dxa"/>
            <w:vAlign w:val="bottom"/>
            <w:tcBorders>
              <w:bottom w:val="single" w:sz="8" w:color="auto"/>
            </w:tcBorders>
            <w:shd w:val="clear" w:color="auto" w:fill="ECECEC"/>
          </w:tcPr>
          <w:p>
            <w:pPr>
              <w:spacing w:after="0"/>
              <w:rPr>
                <w:sz w:val="20"/>
                <w:szCs w:val="20"/>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Less current portion of asset retirement provision included in accounts payable and accrued liabilities</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auto"/>
            </w:tcBorders>
            <w:shd w:val="clear" w:color="auto" w:fill="ECECEC"/>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asset retirement provision</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1,778</w:t>
            </w:r>
          </w:p>
        </w:tc>
        <w:tc>
          <w:tcPr>
            <w:tcW w:w="120" w:type="dxa"/>
            <w:vAlign w:val="bottom"/>
            <w:tcBorders>
              <w:bottom w:val="single" w:sz="8" w:color="auto"/>
            </w:tcBorders>
            <w:shd w:val="clear" w:color="auto" w:fill="ECECEC"/>
          </w:tcPr>
          <w:p>
            <w:pPr>
              <w:spacing w:after="0"/>
              <w:rPr>
                <w:sz w:val="21"/>
                <w:szCs w:val="21"/>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0" w:hanging="4"/>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estimated the costs of restoring its leased premises to their original state at the end of their respective lease terms to be $3,643 (December 31, 2021: $391), discounted to present value of $1,778 (December 31, 2021: $239) using discount rates between 8% and 10% (December 31, 2021: 8%) over the lease periods, which were estimated to range from five to seven years depending on the location.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9" w:lineRule="exact"/>
        <w:rPr>
          <w:sz w:val="20"/>
          <w:szCs w:val="20"/>
          <w:color w:val="auto"/>
        </w:rPr>
      </w:pPr>
    </w:p>
    <w:p>
      <w:pPr>
        <w:jc w:val="both"/>
        <w:ind w:left="20" w:right="20" w:hanging="4"/>
        <w:spacing w:after="0" w:line="282"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without par value. As of September 30, 2022, the Company had 215,711,000 issued and outstanding common shares (December 31, 2021: 194,806,000).</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Details of the outstanding warrants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1240" w:type="dxa"/>
            <w:vAlign w:val="bottom"/>
            <w:tcBorders>
              <w:bottom w:val="single" w:sz="8" w:color="auto"/>
            </w:tcBorders>
          </w:tcPr>
          <w:p>
            <w:pPr>
              <w:spacing w:after="0"/>
              <w:rPr>
                <w:sz w:val="20"/>
                <w:szCs w:val="20"/>
                <w:color w:val="auto"/>
              </w:rPr>
            </w:pPr>
          </w:p>
        </w:tc>
      </w:tr>
      <w:tr>
        <w:trPr>
          <w:trHeight w:val="237"/>
        </w:trPr>
        <w:tc>
          <w:tcPr>
            <w:tcW w:w="5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shd w:val="clear" w:color="auto" w:fill="ECECEC"/>
          </w:tcPr>
          <w:p>
            <w:pPr>
              <w:spacing w:after="0"/>
              <w:rPr>
                <w:sz w:val="20"/>
                <w:szCs w:val="20"/>
                <w:color w:val="auto"/>
              </w:rPr>
            </w:pPr>
          </w:p>
        </w:tc>
        <w:tc>
          <w:tcPr>
            <w:tcW w:w="12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187"/>
        </w:trPr>
        <w:tc>
          <w:tcPr>
            <w:tcW w:w="5980" w:type="dxa"/>
            <w:vAlign w:val="bottom"/>
          </w:tcPr>
          <w:p>
            <w:pPr>
              <w:spacing w:after="0"/>
              <w:rPr>
                <w:sz w:val="16"/>
                <w:szCs w:val="16"/>
                <w:color w:val="auto"/>
              </w:rPr>
            </w:pPr>
          </w:p>
        </w:tc>
        <w:tc>
          <w:tcPr>
            <w:tcW w:w="1260" w:type="dxa"/>
            <w:vAlign w:val="bottom"/>
            <w:shd w:val="clear" w:color="auto" w:fill="ECECEC"/>
          </w:tcPr>
          <w:p>
            <w:pPr>
              <w:spacing w:after="0"/>
              <w:rPr>
                <w:sz w:val="16"/>
                <w:szCs w:val="16"/>
                <w:color w:val="auto"/>
              </w:rPr>
            </w:pPr>
          </w:p>
        </w:tc>
        <w:tc>
          <w:tcPr>
            <w:tcW w:w="1240" w:type="dxa"/>
            <w:vAlign w:val="bottom"/>
            <w:shd w:val="clear" w:color="auto" w:fill="ECECE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Weighted</w:t>
            </w:r>
          </w:p>
        </w:tc>
        <w:tc>
          <w:tcPr>
            <w:tcW w:w="1520" w:type="dxa"/>
            <w:vAlign w:val="bottom"/>
          </w:tcPr>
          <w:p>
            <w:pPr>
              <w:spacing w:after="0"/>
              <w:rPr>
                <w:sz w:val="16"/>
                <w:szCs w:val="16"/>
                <w:color w:val="auto"/>
              </w:rPr>
            </w:pPr>
          </w:p>
        </w:tc>
        <w:tc>
          <w:tcPr>
            <w:tcW w:w="12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5980" w:type="dxa"/>
            <w:vAlign w:val="bottom"/>
          </w:tcPr>
          <w:p>
            <w:pPr>
              <w:spacing w:after="0"/>
              <w:rPr>
                <w:sz w:val="18"/>
                <w:szCs w:val="18"/>
                <w:color w:val="auto"/>
              </w:rPr>
            </w:pPr>
          </w:p>
        </w:tc>
        <w:tc>
          <w:tcPr>
            <w:tcW w:w="1260" w:type="dxa"/>
            <w:vAlign w:val="bottom"/>
            <w:shd w:val="clear" w:color="auto" w:fill="ECECEC"/>
          </w:tcPr>
          <w:p>
            <w:pPr>
              <w:spacing w:after="0"/>
              <w:rPr>
                <w:sz w:val="18"/>
                <w:szCs w:val="18"/>
                <w:color w:val="auto"/>
              </w:rPr>
            </w:pPr>
          </w:p>
        </w:tc>
        <w:tc>
          <w:tcPr>
            <w:tcW w:w="12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5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5980" w:type="dxa"/>
            <w:vAlign w:val="bottom"/>
          </w:tcPr>
          <w:p>
            <w:pPr>
              <w:spacing w:after="0"/>
              <w:rPr>
                <w:sz w:val="18"/>
                <w:szCs w:val="18"/>
                <w:color w:val="auto"/>
              </w:rPr>
            </w:pPr>
          </w:p>
        </w:tc>
        <w:tc>
          <w:tcPr>
            <w:tcW w:w="126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Number of</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exercise price</w:t>
            </w:r>
          </w:p>
        </w:tc>
      </w:tr>
      <w:tr>
        <w:trPr>
          <w:trHeight w:val="238"/>
        </w:trPr>
        <w:tc>
          <w:tcPr>
            <w:tcW w:w="5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(USD)</w:t>
            </w: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warrants</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(USD)</w:t>
            </w:r>
          </w:p>
        </w:tc>
      </w:tr>
      <w:tr>
        <w:trPr>
          <w:trHeight w:val="236"/>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January 1,</w:t>
            </w:r>
          </w:p>
        </w:tc>
        <w:tc>
          <w:tcPr>
            <w:tcW w:w="126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19,428,000</w:t>
            </w:r>
          </w:p>
        </w:tc>
        <w:tc>
          <w:tcPr>
            <w:tcW w:w="12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6,053,000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25,000</w:t>
            </w:r>
          </w:p>
        </w:tc>
        <w:tc>
          <w:tcPr>
            <w:tcW w:w="12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1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40,332,000</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w:t>
            </w:r>
          </w:p>
        </w:tc>
      </w:tr>
      <w:tr>
        <w:trPr>
          <w:trHeight w:val="24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(26,957,000)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2.13</w:t>
            </w:r>
          </w:p>
        </w:tc>
      </w:tr>
      <w:tr>
        <w:trPr>
          <w:trHeight w:val="24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September 30,</w:t>
            </w:r>
          </w:p>
        </w:tc>
        <w:tc>
          <w:tcPr>
            <w:tcW w:w="1260" w:type="dxa"/>
            <w:vAlign w:val="bottom"/>
            <w:tcBorders>
              <w:bottom w:val="single" w:sz="8" w:color="auto"/>
            </w:tcBorders>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19,453,000</w:t>
            </w:r>
          </w:p>
        </w:tc>
        <w:tc>
          <w:tcPr>
            <w:tcW w:w="12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4.16</w:t>
            </w:r>
          </w:p>
        </w:tc>
        <w:tc>
          <w:tcPr>
            <w:tcW w:w="15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19,428,000</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warrants as at September 30, 2022 was 1.7 years (September 30, 2021: 2.7 years).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Garlock Acquisition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the Company acquired a building in Quebec referred to as “Garlock” in exchange for cash consideration of $1,783 and the issuance of 25,000 warrants granted with a strike price of USD$3.47 that have a contractual life of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 xml:space="preserve">SHARE CAPITAL </w:t>
      </w:r>
      <w:r>
        <w:rPr>
          <w:rFonts w:ascii="Times New Roman" w:cs="Times New Roman" w:eastAsia="Times New Roman" w:hAnsi="Times New Roman"/>
          <w:sz w:val="17"/>
          <w:szCs w:val="17"/>
          <w:color w:val="auto"/>
        </w:rPr>
        <w:t>(Continued)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Equity Program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Bitfarms commenced an at-the-market equity program on August 16, 2021, pursuant to which the Company may, at its discretion and from time-to-time, sell common shares of the Company, resulting in the Company receiving aggregate proceeds of up to $500,000. During the year ended December 31, 2021, the Company issued 23,923,000 common shares in exchange for gross proceeds of $150,296 at an average share price of approximately USD$6.28. The Company received net proceeds of $145,601 after paying commissions of $4,509 to the Company’s agent, in addition to $186 of other transaction fees. During the nine months ended September 30, 2022, the Company issued 20,835,000 common shares in exchange for gross proceeds of $50,181 at an average share price of approximately USD$2.41. The Company received net proceeds of $48,506 after paying commissions of $1,585 to the Company’s agent and $90 in other transaction costs.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TRANSACTIONS AND BALANCES WITH RELATED PARTIES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with related parties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6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Trade payables and accrued liabilities:</w:t>
            </w:r>
          </w:p>
        </w:tc>
        <w:tc>
          <w:tcPr>
            <w:tcW w:w="120" w:type="dxa"/>
            <w:vAlign w:val="bottom"/>
            <w:shd w:val="clear" w:color="auto" w:fill="ECECEC"/>
          </w:tcPr>
          <w:p>
            <w:pPr>
              <w:spacing w:after="0"/>
              <w:rPr>
                <w:sz w:val="18"/>
                <w:szCs w:val="18"/>
                <w:color w:val="auto"/>
              </w:rPr>
            </w:pPr>
          </w:p>
        </w:tc>
        <w:tc>
          <w:tcPr>
            <w:tcW w:w="100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120" w:type="dxa"/>
            <w:vAlign w:val="bottom"/>
            <w:shd w:val="clear" w:color="auto" w:fill="ECECEC"/>
          </w:tcPr>
          <w:p>
            <w:pPr>
              <w:spacing w:after="0"/>
              <w:rPr>
                <w:sz w:val="18"/>
                <w:szCs w:val="18"/>
                <w:color w:val="auto"/>
              </w:rPr>
            </w:pPr>
          </w:p>
        </w:tc>
        <w:tc>
          <w:tcPr>
            <w:tcW w:w="1000" w:type="dxa"/>
            <w:vAlign w:val="bottom"/>
            <w:vMerge w:val="continue"/>
            <w:shd w:val="clear" w:color="auto" w:fill="ECECEC"/>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senior management incentive plan</w:t>
            </w:r>
          </w:p>
        </w:tc>
        <w:tc>
          <w:tcPr>
            <w:tcW w:w="12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232"/>
        </w:trPr>
        <w:tc>
          <w:tcPr>
            <w:tcW w:w="8680" w:type="dxa"/>
            <w:vAlign w:val="bottom"/>
          </w:tcPr>
          <w:p>
            <w:pPr>
              <w:spacing w:after="0"/>
              <w:rPr>
                <w:sz w:val="20"/>
                <w:szCs w:val="20"/>
                <w:color w:val="auto"/>
              </w:rPr>
            </w:pPr>
          </w:p>
        </w:tc>
        <w:tc>
          <w:tcPr>
            <w:tcW w:w="120" w:type="dxa"/>
            <w:vAlign w:val="bottom"/>
            <w:shd w:val="clear" w:color="auto" w:fill="ECECEC"/>
          </w:tcPr>
          <w:p>
            <w:pPr>
              <w:spacing w:after="0"/>
              <w:rPr>
                <w:sz w:val="20"/>
                <w:szCs w:val="20"/>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113</w:t>
            </w:r>
          </w:p>
        </w:tc>
        <w:tc>
          <w:tcPr>
            <w:tcW w:w="16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 liabilities:</w:t>
            </w:r>
          </w:p>
        </w:tc>
        <w:tc>
          <w:tcPr>
            <w:tcW w:w="120" w:type="dxa"/>
            <w:vAlign w:val="bottom"/>
            <w:shd w:val="clear" w:color="auto" w:fill="ECECEC"/>
          </w:tcPr>
          <w:p>
            <w:pPr>
              <w:spacing w:after="0"/>
              <w:rPr>
                <w:sz w:val="24"/>
                <w:szCs w:val="24"/>
                <w:color w:val="auto"/>
              </w:rPr>
            </w:pPr>
          </w:p>
        </w:tc>
        <w:tc>
          <w:tcPr>
            <w:tcW w:w="1000" w:type="dxa"/>
            <w:vAlign w:val="bottom"/>
            <w:shd w:val="clear" w:color="auto" w:fill="ECECEC"/>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Companies controlled by directors</w:t>
            </w:r>
          </w:p>
        </w:tc>
        <w:tc>
          <w:tcPr>
            <w:tcW w:w="12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1,917</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Amounts due to related parties, other than lease liabilities, are unsecured, non-interest bearing and payable on demand.</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Transactions with related parties</w:t>
      </w:r>
    </w:p>
    <w:p>
      <w:pPr>
        <w:spacing w:after="0" w:line="229" w:lineRule="exact"/>
        <w:rPr>
          <w:sz w:val="20"/>
          <w:szCs w:val="20"/>
          <w:color w:val="auto"/>
        </w:rPr>
      </w:pPr>
    </w:p>
    <w:p>
      <w:pPr>
        <w:jc w:val="both"/>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made rent payments totaling approximately $95 and $273 for the three and nine months ended September 30, 2022, respectively (for the three and nine months ended September 30, 2021: $116 and $353, respectively), to companies controlled by certain directors. The rent payments were classified as interest included in financial expenses and principal repayment of lease liabilities.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entered into consulting agreements with two directors. The consulting fees totaled approximately $417 and $843 for the three and nine months ended September 30, 2022, respectively (for the three and nine months ended September 30, 2021: $200 and $469,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16:</w:t>
      </w:r>
      <w:r>
        <w:rPr>
          <w:sz w:val="20"/>
          <w:szCs w:val="20"/>
          <w:color w:val="auto"/>
        </w:rPr>
        <w:tab/>
      </w:r>
      <w:r>
        <w:rPr>
          <w:rFonts w:ascii="Times New Roman" w:cs="Times New Roman" w:eastAsia="Times New Roman" w:hAnsi="Times New Roman"/>
          <w:sz w:val="17"/>
          <w:szCs w:val="17"/>
          <w:b w:val="1"/>
          <w:bCs w:val="1"/>
          <w:color w:val="auto"/>
        </w:rPr>
        <w:t xml:space="preserve">TRANSACTIONS AND BALANCES WITH RELATED PARTIES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jc w:val="both"/>
        <w:ind w:left="20" w:hanging="4"/>
        <w:spacing w:after="0" w:line="282" w:lineRule="auto"/>
        <w:rPr>
          <w:sz w:val="20"/>
          <w:szCs w:val="20"/>
          <w:color w:val="auto"/>
        </w:rPr>
      </w:pPr>
      <w:r>
        <w:rPr>
          <w:rFonts w:ascii="Times New Roman" w:cs="Times New Roman" w:eastAsia="Times New Roman" w:hAnsi="Times New Roman"/>
          <w:sz w:val="18"/>
          <w:szCs w:val="18"/>
          <w:color w:val="auto"/>
        </w:rPr>
        <w:t>The transactions described above were incurred in the normal course of operations. These transactions are included in the consolidated statements of profit or loss and comprehensive profit and loss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20" w:type="dxa"/>
            <w:vAlign w:val="bottom"/>
          </w:tcPr>
          <w:p>
            <w:pPr>
              <w:spacing w:after="0"/>
              <w:rPr>
                <w:sz w:val="18"/>
                <w:szCs w:val="18"/>
                <w:color w:val="auto"/>
              </w:rPr>
            </w:pPr>
          </w:p>
        </w:tc>
        <w:tc>
          <w:tcPr>
            <w:tcW w:w="20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520" w:type="dxa"/>
            <w:vAlign w:val="bottom"/>
          </w:tcPr>
          <w:p>
            <w:pPr>
              <w:spacing w:after="0"/>
              <w:rPr>
                <w:sz w:val="18"/>
                <w:szCs w:val="18"/>
                <w:color w:val="auto"/>
              </w:rPr>
            </w:pPr>
          </w:p>
        </w:tc>
      </w:tr>
      <w:tr>
        <w:trPr>
          <w:trHeight w:val="238"/>
        </w:trPr>
        <w:tc>
          <w:tcPr>
            <w:tcW w:w="59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r>
      <w:tr>
        <w:trPr>
          <w:trHeight w:val="237"/>
        </w:trPr>
        <w:tc>
          <w:tcPr>
            <w:tcW w:w="5980" w:type="dxa"/>
            <w:vAlign w:val="bottom"/>
          </w:tcPr>
          <w:p>
            <w:pPr>
              <w:spacing w:after="0"/>
              <w:rPr>
                <w:sz w:val="20"/>
                <w:szCs w:val="20"/>
                <w:color w:val="auto"/>
              </w:rPr>
            </w:pP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c>
          <w:tcPr>
            <w:tcW w:w="980" w:type="dxa"/>
            <w:vAlign w:val="bottom"/>
          </w:tcPr>
          <w:p>
            <w:pPr>
              <w:spacing w:after="0"/>
              <w:rPr>
                <w:sz w:val="18"/>
                <w:szCs w:val="18"/>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843</w:t>
            </w:r>
          </w:p>
        </w:tc>
        <w:tc>
          <w:tcPr>
            <w:tcW w:w="920" w:type="dxa"/>
            <w:vAlign w:val="bottom"/>
          </w:tcPr>
          <w:p>
            <w:pPr>
              <w:spacing w:after="0"/>
              <w:rPr>
                <w:sz w:val="18"/>
                <w:szCs w:val="18"/>
                <w:color w:val="auto"/>
              </w:rPr>
            </w:pPr>
          </w:p>
        </w:tc>
        <w:tc>
          <w:tcPr>
            <w:tcW w:w="5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r>
      <w:tr>
        <w:trPr>
          <w:trHeight w:val="24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financial expenses</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1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r>
      <w:tr>
        <w:trPr>
          <w:trHeight w:val="243"/>
        </w:trPr>
        <w:tc>
          <w:tcPr>
            <w:tcW w:w="59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443</w:t>
            </w:r>
          </w:p>
        </w:tc>
        <w:tc>
          <w:tcPr>
            <w:tcW w:w="9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w:t>
            </w:r>
          </w:p>
        </w:tc>
        <w:tc>
          <w:tcPr>
            <w:tcW w:w="1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913</w:t>
            </w: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565</w:t>
            </w:r>
          </w:p>
        </w:tc>
      </w:tr>
    </w:tbl>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SHARE-BASED PAYMENT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share-based payment expense recognized in the financial statements for employee services received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0" w:type="dxa"/>
            <w:vAlign w:val="bottom"/>
          </w:tcPr>
          <w:p>
            <w:pPr>
              <w:spacing w:after="0"/>
              <w:rPr>
                <w:sz w:val="18"/>
                <w:szCs w:val="18"/>
                <w:color w:val="auto"/>
              </w:rPr>
            </w:pPr>
          </w:p>
        </w:tc>
        <w:tc>
          <w:tcPr>
            <w:tcW w:w="240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7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680" w:type="dxa"/>
            <w:vAlign w:val="bottom"/>
            <w:tcBorders>
              <w:bottom w:val="single" w:sz="8" w:color="auto"/>
            </w:tcBorders>
          </w:tcPr>
          <w:p>
            <w:pPr>
              <w:spacing w:after="0"/>
              <w:rPr>
                <w:sz w:val="20"/>
                <w:szCs w:val="20"/>
                <w:color w:val="auto"/>
              </w:rPr>
            </w:pPr>
          </w:p>
        </w:tc>
      </w:tr>
      <w:tr>
        <w:trPr>
          <w:trHeight w:val="237"/>
        </w:trPr>
        <w:tc>
          <w:tcPr>
            <w:tcW w:w="47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17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43"/>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Equity-settled share-based payment plans</w:t>
            </w:r>
          </w:p>
        </w:tc>
        <w:tc>
          <w:tcPr>
            <w:tcW w:w="33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3,961</w:t>
            </w: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5,787</w:t>
            </w:r>
          </w:p>
        </w:tc>
        <w:tc>
          <w:tcPr>
            <w:tcW w:w="17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17,993</w:t>
            </w: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12,549</w:t>
            </w:r>
          </w:p>
        </w:tc>
      </w:tr>
    </w:tbl>
    <w:p>
      <w:pPr>
        <w:spacing w:after="0" w:line="198"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The share-based payment transactions entered into between the Company and its directors, employees and service providers during the nine months ended September 30, 2022 are described below. During the nine months ended September 30, 2022, the Board of Directors approved stock option grants to purchase up to 5,523,000 common shares in accordance with the Long-Term Incentive Plan (the “LTIP Plan”) adopted on May 18, 2021. All options issued according to the LTIP Plan become exercisable when they vest and can be exercised for a maximum period of 5 years from the date of the grant. In addition, on May 19, 2022, the Board of Directors approved the grant of 200,000 Restricted Stock Units (“RSUs”) to certain members of senior management which vest ratably, on an annual basis, over a three-year period. The value of the RSUs on the grant date was $1.91 per unit.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inputs used to value the option grants using the Black-Scholes model are as follows:</w:t>
            </w:r>
          </w:p>
        </w:tc>
        <w:tc>
          <w:tcPr>
            <w:tcW w:w="1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59"/>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1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May 19, 2022</w:t>
            </w:r>
          </w:p>
        </w:tc>
        <w:tc>
          <w:tcPr>
            <w:tcW w:w="130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191"/>
        </w:trPr>
        <w:tc>
          <w:tcPr>
            <w:tcW w:w="6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Dividend yield (%)</w:t>
            </w:r>
          </w:p>
        </w:tc>
        <w:tc>
          <w:tcPr>
            <w:tcW w:w="1800" w:type="dxa"/>
            <w:vAlign w:val="bottom"/>
          </w:tcPr>
          <w:p>
            <w:pPr>
              <w:jc w:val="right"/>
              <w:ind w:right="1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6"/>
                <w:szCs w:val="16"/>
                <w:color w:val="auto"/>
              </w:rPr>
            </w:pPr>
          </w:p>
        </w:tc>
        <w:tc>
          <w:tcPr>
            <w:tcW w:w="76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Expected share price volatility (%)</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2.49%</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stock options (years)</w:t>
            </w: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Share price (CAD)</w:t>
            </w: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4.71</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2.45</w:t>
            </w:r>
          </w:p>
        </w:tc>
        <w:tc>
          <w:tcPr>
            <w:tcW w:w="5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(CAD)</w:t>
            </w: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4.71</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2.45</w:t>
            </w:r>
          </w:p>
        </w:tc>
        <w:tc>
          <w:tcPr>
            <w:tcW w:w="5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options (USD)</w:t>
            </w: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2.40</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1.21</w:t>
            </w:r>
          </w:p>
        </w:tc>
        <w:tc>
          <w:tcPr>
            <w:tcW w:w="5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0.72</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Vesting period (years)</w:t>
            </w: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54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Number of options granted</w:t>
            </w: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120,000</w:t>
            </w:r>
          </w:p>
        </w:tc>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5,382,500</w:t>
            </w:r>
          </w:p>
        </w:tc>
        <w:tc>
          <w:tcPr>
            <w:tcW w:w="54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20,000</w:t>
            </w:r>
          </w:p>
        </w:tc>
      </w:tr>
      <w:tr>
        <w:trPr>
          <w:trHeight w:val="439"/>
        </w:trPr>
        <w:tc>
          <w:tcPr>
            <w:tcW w:w="6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16"/>
        </w:trPr>
        <w:tc>
          <w:tcPr>
            <w:tcW w:w="6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4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17:</w:t>
      </w:r>
      <w:r>
        <w:rPr>
          <w:sz w:val="20"/>
          <w:szCs w:val="20"/>
          <w:color w:val="auto"/>
        </w:rPr>
        <w:tab/>
      </w:r>
      <w:r>
        <w:rPr>
          <w:rFonts w:ascii="Times New Roman" w:cs="Times New Roman" w:eastAsia="Times New Roman" w:hAnsi="Times New Roman"/>
          <w:sz w:val="17"/>
          <w:szCs w:val="17"/>
          <w:b w:val="1"/>
          <w:bCs w:val="1"/>
          <w:color w:val="auto"/>
        </w:rPr>
        <w:t xml:space="preserve">SHARE-BASED PAYMENT </w:t>
      </w:r>
      <w:r>
        <w:rPr>
          <w:rFonts w:ascii="Times New Roman" w:cs="Times New Roman" w:eastAsia="Times New Roman" w:hAnsi="Times New Roman"/>
          <w:sz w:val="17"/>
          <w:szCs w:val="17"/>
          <w:color w:val="auto"/>
        </w:rPr>
        <w:t>(Continued)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outstanding stock options are as follows:</w:t>
      </w:r>
    </w:p>
    <w:p>
      <w:pPr>
        <w:spacing w:after="0" w:line="248"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shd w:val="clear" w:color="auto" w:fill="ECECEC"/>
          </w:tcPr>
          <w:p>
            <w:pPr>
              <w:spacing w:after="0"/>
              <w:rPr>
                <w:sz w:val="20"/>
                <w:szCs w:val="20"/>
                <w:color w:val="auto"/>
              </w:rPr>
            </w:pPr>
          </w:p>
        </w:tc>
        <w:tc>
          <w:tcPr>
            <w:tcW w:w="120" w:type="dxa"/>
            <w:vAlign w:val="bottom"/>
            <w:tcBorders>
              <w:top w:val="single" w:sz="8" w:color="auto"/>
              <w:bottom w:val="single" w:sz="8" w:color="auto"/>
            </w:tcBorders>
            <w:shd w:val="clear" w:color="auto" w:fill="ECECEC"/>
          </w:tcPr>
          <w:p>
            <w:pPr>
              <w:spacing w:after="0"/>
              <w:rPr>
                <w:sz w:val="20"/>
                <w:szCs w:val="20"/>
                <w:color w:val="auto"/>
              </w:rPr>
            </w:pPr>
          </w:p>
        </w:tc>
        <w:tc>
          <w:tcPr>
            <w:tcW w:w="1840" w:type="dxa"/>
            <w:vAlign w:val="bottom"/>
            <w:tcBorders>
              <w:top w:val="single" w:sz="8" w:color="auto"/>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100" w:type="dxa"/>
            <w:vAlign w:val="bottom"/>
          </w:tcPr>
          <w:p>
            <w:pPr>
              <w:spacing w:after="0"/>
              <w:rPr>
                <w:sz w:val="16"/>
                <w:szCs w:val="16"/>
                <w:color w:val="auto"/>
              </w:rPr>
            </w:pPr>
          </w:p>
        </w:tc>
        <w:tc>
          <w:tcPr>
            <w:tcW w:w="1200" w:type="dxa"/>
            <w:vAlign w:val="bottom"/>
            <w:gridSpan w:val="2"/>
            <w:shd w:val="clear" w:color="auto" w:fill="ECECEC"/>
          </w:tcPr>
          <w:p>
            <w:pPr>
              <w:jc w:val="right"/>
              <w:ind w:right="41"/>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840" w:type="dxa"/>
            <w:vAlign w:val="bottom"/>
            <w:shd w:val="clear" w:color="auto" w:fill="ECECE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8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Exercise Price ($CAD)</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Outstanding, January 1, 2022</w:t>
            </w:r>
          </w:p>
        </w:tc>
        <w:tc>
          <w:tcPr>
            <w:tcW w:w="120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12,547,000</w:t>
            </w:r>
          </w:p>
        </w:tc>
        <w:tc>
          <w:tcPr>
            <w:tcW w:w="18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5,523,000</w:t>
            </w:r>
          </w:p>
        </w:tc>
        <w:tc>
          <w:tcPr>
            <w:tcW w:w="120" w:type="dxa"/>
            <w:vAlign w:val="bottom"/>
            <w:shd w:val="clear" w:color="auto" w:fill="ECECEC"/>
          </w:tcPr>
          <w:p>
            <w:pPr>
              <w:spacing w:after="0"/>
              <w:rPr>
                <w:sz w:val="18"/>
                <w:szCs w:val="18"/>
                <w:color w:val="auto"/>
              </w:rPr>
            </w:pPr>
          </w:p>
        </w:tc>
        <w:tc>
          <w:tcPr>
            <w:tcW w:w="18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0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(70,000)</w:t>
            </w:r>
          </w:p>
        </w:tc>
        <w:tc>
          <w:tcPr>
            <w:tcW w:w="120" w:type="dxa"/>
            <w:vAlign w:val="bottom"/>
            <w:shd w:val="clear" w:color="auto" w:fill="ECECEC"/>
          </w:tcPr>
          <w:p>
            <w:pPr>
              <w:spacing w:after="0"/>
              <w:rPr>
                <w:sz w:val="18"/>
                <w:szCs w:val="18"/>
                <w:color w:val="auto"/>
              </w:rPr>
            </w:pPr>
          </w:p>
        </w:tc>
        <w:tc>
          <w:tcPr>
            <w:tcW w:w="18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(170,000)</w:t>
            </w:r>
          </w:p>
        </w:tc>
        <w:tc>
          <w:tcPr>
            <w:tcW w:w="12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Expired</w:t>
            </w:r>
          </w:p>
        </w:tc>
        <w:tc>
          <w:tcPr>
            <w:tcW w:w="10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(15,000</w:t>
            </w:r>
          </w:p>
        </w:tc>
        <w:tc>
          <w:tcPr>
            <w:tcW w:w="120" w:type="dxa"/>
            <w:vAlign w:val="bottom"/>
            <w:tcBorders>
              <w:bottom w:val="single" w:sz="8" w:color="auto"/>
            </w:tcBorders>
            <w:vMerge w:val="continue"/>
            <w:shd w:val="clear" w:color="auto" w:fill="ECECEC"/>
          </w:tcPr>
          <w:p>
            <w:pPr>
              <w:spacing w:after="0"/>
              <w:rPr>
                <w:sz w:val="21"/>
                <w:szCs w:val="21"/>
                <w:color w:val="auto"/>
              </w:rPr>
            </w:pPr>
          </w:p>
        </w:tc>
        <w:tc>
          <w:tcPr>
            <w:tcW w:w="18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5.01</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Outstanding, September 30, 2022</w:t>
            </w:r>
          </w:p>
        </w:tc>
        <w:tc>
          <w:tcPr>
            <w:tcW w:w="10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17,815,000</w:t>
            </w:r>
          </w:p>
        </w:tc>
        <w:tc>
          <w:tcPr>
            <w:tcW w:w="120" w:type="dxa"/>
            <w:vAlign w:val="bottom"/>
            <w:tcBorders>
              <w:bottom w:val="single" w:sz="8" w:color="auto"/>
            </w:tcBorders>
            <w:shd w:val="clear" w:color="auto" w:fill="ECECEC"/>
          </w:tcPr>
          <w:p>
            <w:pPr>
              <w:spacing w:after="0"/>
              <w:rPr>
                <w:sz w:val="20"/>
                <w:szCs w:val="20"/>
                <w:color w:val="auto"/>
              </w:rPr>
            </w:pPr>
          </w:p>
        </w:tc>
        <w:tc>
          <w:tcPr>
            <w:tcW w:w="18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4.27</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Exercisable, September 30, 2022</w:t>
            </w:r>
          </w:p>
        </w:tc>
        <w:tc>
          <w:tcPr>
            <w:tcW w:w="10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1,391,000</w:t>
            </w:r>
          </w:p>
        </w:tc>
        <w:tc>
          <w:tcPr>
            <w:tcW w:w="120" w:type="dxa"/>
            <w:vAlign w:val="bottom"/>
            <w:tcBorders>
              <w:bottom w:val="single" w:sz="8" w:color="auto"/>
            </w:tcBorders>
            <w:shd w:val="clear" w:color="auto" w:fill="ECECEC"/>
          </w:tcPr>
          <w:p>
            <w:pPr>
              <w:spacing w:after="0"/>
              <w:rPr>
                <w:sz w:val="21"/>
                <w:szCs w:val="21"/>
                <w:color w:val="auto"/>
              </w:rPr>
            </w:pPr>
          </w:p>
        </w:tc>
        <w:tc>
          <w:tcPr>
            <w:tcW w:w="18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0.41</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contractual life of the stock options as at September 30, 2022 was 4.0 years (September 30, 2021: 4.3 years).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ADDITIONAL DETAILS TO THE STATEMENT OF PROFIT OR LOSS AND COMPREHENSIVE PROFIT OR LOSS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7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54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Borders>
              <w:bottom w:val="single" w:sz="8" w:color="auto"/>
            </w:tcBorders>
          </w:tcPr>
          <w:p>
            <w:pPr>
              <w:spacing w:after="0"/>
              <w:rPr>
                <w:sz w:val="20"/>
                <w:szCs w:val="20"/>
                <w:color w:val="auto"/>
              </w:rPr>
            </w:pPr>
          </w:p>
        </w:tc>
      </w:tr>
      <w:tr>
        <w:trPr>
          <w:trHeight w:val="236"/>
        </w:trPr>
        <w:tc>
          <w:tcPr>
            <w:tcW w:w="5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Energy and infrastructure</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15,489</w:t>
            </w:r>
          </w:p>
        </w:tc>
        <w:tc>
          <w:tcPr>
            <w:tcW w:w="78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7,991</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38,970</w:t>
            </w:r>
          </w:p>
        </w:tc>
        <w:tc>
          <w:tcPr>
            <w:tcW w:w="6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20,860</w:t>
            </w: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20,720</w:t>
            </w:r>
          </w:p>
        </w:tc>
        <w:tc>
          <w:tcPr>
            <w:tcW w:w="780" w:type="dxa"/>
            <w:vAlign w:val="bottom"/>
          </w:tcPr>
          <w:p>
            <w:pPr>
              <w:spacing w:after="0"/>
              <w:rPr>
                <w:sz w:val="16"/>
                <w:szCs w:val="16"/>
                <w:color w:val="auto"/>
              </w:rPr>
            </w:pPr>
          </w:p>
        </w:tc>
        <w:tc>
          <w:tcPr>
            <w:tcW w:w="82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color w:val="auto"/>
              </w:rPr>
              <w:t>6,261</w:t>
            </w:r>
          </w:p>
        </w:tc>
        <w:tc>
          <w:tcPr>
            <w:tcW w:w="110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51,643</w:t>
            </w:r>
          </w:p>
        </w:tc>
        <w:tc>
          <w:tcPr>
            <w:tcW w:w="680" w:type="dxa"/>
            <w:vAlign w:val="bottom"/>
          </w:tcPr>
          <w:p>
            <w:pPr>
              <w:spacing w:after="0"/>
              <w:rPr>
                <w:sz w:val="16"/>
                <w:szCs w:val="16"/>
                <w:color w:val="auto"/>
              </w:rPr>
            </w:pPr>
          </w:p>
        </w:tc>
        <w:tc>
          <w:tcPr>
            <w:tcW w:w="7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14,189</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electrical components</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7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606</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1,252</w:t>
            </w:r>
          </w:p>
        </w:tc>
        <w:tc>
          <w:tcPr>
            <w:tcW w:w="6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1,419</w:t>
            </w:r>
          </w:p>
        </w:tc>
      </w:tr>
      <w:tr>
        <w:trPr>
          <w:trHeight w:val="24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448</w:t>
            </w:r>
          </w:p>
        </w:tc>
        <w:tc>
          <w:tcPr>
            <w:tcW w:w="1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c>
          <w:tcPr>
            <w:tcW w:w="6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1,290</w:t>
            </w:r>
          </w:p>
        </w:tc>
      </w:tr>
      <w:tr>
        <w:trPr>
          <w:trHeight w:val="243"/>
        </w:trPr>
        <w:tc>
          <w:tcPr>
            <w:tcW w:w="59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37,186</w:t>
            </w: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15,306</w:t>
            </w:r>
          </w:p>
        </w:tc>
        <w:tc>
          <w:tcPr>
            <w:tcW w:w="1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92,789</w:t>
            </w:r>
          </w:p>
        </w:tc>
        <w:tc>
          <w:tcPr>
            <w:tcW w:w="6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37,758</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10"/>
        </w:trPr>
        <w:tc>
          <w:tcPr>
            <w:tcW w:w="5980" w:type="dxa"/>
            <w:vAlign w:val="bottom"/>
          </w:tcPr>
          <w:p>
            <w:pPr>
              <w:spacing w:after="0"/>
              <w:rPr>
                <w:sz w:val="24"/>
                <w:szCs w:val="24"/>
                <w:color w:val="auto"/>
              </w:rPr>
            </w:pPr>
          </w:p>
        </w:tc>
        <w:tc>
          <w:tcPr>
            <w:tcW w:w="27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3"/>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8"/>
        </w:trPr>
        <w:tc>
          <w:tcPr>
            <w:tcW w:w="59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8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760" w:type="dxa"/>
            <w:vAlign w:val="bottom"/>
            <w:tcBorders>
              <w:bottom w:val="single" w:sz="8" w:color="auto"/>
            </w:tcBorders>
          </w:tcPr>
          <w:p>
            <w:pPr>
              <w:spacing w:after="0"/>
              <w:rPr>
                <w:sz w:val="20"/>
                <w:szCs w:val="20"/>
                <w:color w:val="auto"/>
              </w:rPr>
            </w:pPr>
          </w:p>
        </w:tc>
      </w:tr>
      <w:tr>
        <w:trPr>
          <w:trHeight w:val="237"/>
        </w:trPr>
        <w:tc>
          <w:tcPr>
            <w:tcW w:w="59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share based payment</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6,097</w:t>
            </w:r>
          </w:p>
        </w:tc>
        <w:tc>
          <w:tcPr>
            <w:tcW w:w="78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7,550</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23,648</w:t>
            </w:r>
          </w:p>
        </w:tc>
        <w:tc>
          <w:tcPr>
            <w:tcW w:w="6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16,345</w:t>
            </w: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Professional services</w:t>
            </w:r>
          </w:p>
        </w:tc>
        <w:tc>
          <w:tcPr>
            <w:tcW w:w="112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1,835</w:t>
            </w:r>
          </w:p>
        </w:tc>
        <w:tc>
          <w:tcPr>
            <w:tcW w:w="780" w:type="dxa"/>
            <w:vAlign w:val="bottom"/>
          </w:tcPr>
          <w:p>
            <w:pPr>
              <w:spacing w:after="0"/>
              <w:rPr>
                <w:sz w:val="16"/>
                <w:szCs w:val="16"/>
                <w:color w:val="auto"/>
              </w:rPr>
            </w:pPr>
          </w:p>
        </w:tc>
        <w:tc>
          <w:tcPr>
            <w:tcW w:w="82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color w:val="auto"/>
              </w:rPr>
              <w:t>1,690</w:t>
            </w:r>
          </w:p>
        </w:tc>
        <w:tc>
          <w:tcPr>
            <w:tcW w:w="110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6,459</w:t>
            </w:r>
          </w:p>
        </w:tc>
        <w:tc>
          <w:tcPr>
            <w:tcW w:w="680" w:type="dxa"/>
            <w:vAlign w:val="bottom"/>
          </w:tcPr>
          <w:p>
            <w:pPr>
              <w:spacing w:after="0"/>
              <w:rPr>
                <w:sz w:val="16"/>
                <w:szCs w:val="16"/>
                <w:color w:val="auto"/>
              </w:rPr>
            </w:pPr>
          </w:p>
        </w:tc>
        <w:tc>
          <w:tcPr>
            <w:tcW w:w="7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4,703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78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c>
          <w:tcPr>
            <w:tcW w:w="6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Insurance, duties and other</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1,992</w:t>
            </w:r>
          </w:p>
        </w:tc>
        <w:tc>
          <w:tcPr>
            <w:tcW w:w="780" w:type="dxa"/>
            <w:vAlign w:val="bottom"/>
          </w:tcPr>
          <w:p>
            <w:pPr>
              <w:spacing w:after="0"/>
              <w:rPr>
                <w:sz w:val="18"/>
                <w:szCs w:val="18"/>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1,396</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7,951</w:t>
            </w:r>
          </w:p>
        </w:tc>
        <w:tc>
          <w:tcPr>
            <w:tcW w:w="6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2,681</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Travel, motor vehicle and meals</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78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894</w:t>
            </w:r>
          </w:p>
        </w:tc>
        <w:tc>
          <w:tcPr>
            <w:tcW w:w="6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w:t>
            </w:r>
          </w:p>
        </w:tc>
      </w:tr>
      <w:tr>
        <w:trPr>
          <w:trHeight w:val="24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Hosting and telecommunications</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113</w:t>
            </w:r>
          </w:p>
        </w:tc>
        <w:tc>
          <w:tcPr>
            <w:tcW w:w="1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6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r>
      <w:tr>
        <w:trPr>
          <w:trHeight w:val="243"/>
        </w:trPr>
        <w:tc>
          <w:tcPr>
            <w:tcW w:w="59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10,299</w:t>
            </w:r>
          </w:p>
        </w:tc>
        <w:tc>
          <w:tcPr>
            <w:tcW w:w="7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10,884</w:t>
            </w:r>
          </w:p>
        </w:tc>
        <w:tc>
          <w:tcPr>
            <w:tcW w:w="1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39,534</w:t>
            </w:r>
          </w:p>
        </w:tc>
        <w:tc>
          <w:tcPr>
            <w:tcW w:w="6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24,310</w:t>
            </w:r>
          </w:p>
        </w:tc>
      </w:tr>
      <w:tr>
        <w:trPr>
          <w:trHeight w:val="439"/>
        </w:trPr>
        <w:tc>
          <w:tcPr>
            <w:tcW w:w="5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8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r>
    </w:tbl>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18:</w:t>
      </w:r>
      <w:r>
        <w:rPr>
          <w:sz w:val="20"/>
          <w:szCs w:val="20"/>
          <w:color w:val="auto"/>
        </w:rPr>
        <w:tab/>
      </w:r>
      <w:r>
        <w:rPr>
          <w:rFonts w:ascii="Times New Roman" w:cs="Times New Roman" w:eastAsia="Times New Roman" w:hAnsi="Times New Roman"/>
          <w:sz w:val="17"/>
          <w:szCs w:val="17"/>
          <w:b w:val="1"/>
          <w:bCs w:val="1"/>
          <w:color w:val="auto"/>
        </w:rPr>
        <w:t xml:space="preserve">ADDITIONAL DETAILS TO THE STATEMENT OF PROFIT OR LOSS AND COMPREHENSIVE PROFIT OR LOSS </w:t>
      </w:r>
      <w:r>
        <w:rPr>
          <w:rFonts w:ascii="Times New Roman" w:cs="Times New Roman" w:eastAsia="Times New Roman" w:hAnsi="Times New Roman"/>
          <w:sz w:val="17"/>
          <w:szCs w:val="17"/>
          <w:color w:val="auto"/>
        </w:rPr>
        <w:t>(Continued)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financial (income) expenses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040" w:type="dxa"/>
            <w:vAlign w:val="bottom"/>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80" w:type="dxa"/>
            <w:vAlign w:val="bottom"/>
          </w:tcPr>
          <w:p>
            <w:pPr>
              <w:spacing w:after="0"/>
              <w:rPr>
                <w:sz w:val="24"/>
                <w:szCs w:val="24"/>
                <w:color w:val="auto"/>
              </w:rPr>
            </w:pPr>
          </w:p>
        </w:tc>
        <w:tc>
          <w:tcPr>
            <w:tcW w:w="25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tcBorders>
              <w:bottom w:val="single" w:sz="8" w:color="auto"/>
            </w:tcBorders>
          </w:tcPr>
          <w:p>
            <w:pPr>
              <w:spacing w:after="0"/>
              <w:rPr>
                <w:sz w:val="20"/>
                <w:szCs w:val="20"/>
                <w:color w:val="auto"/>
              </w:rPr>
            </w:pPr>
          </w:p>
        </w:tc>
      </w:tr>
      <w:tr>
        <w:trPr>
          <w:trHeight w:val="237"/>
        </w:trPr>
        <w:tc>
          <w:tcPr>
            <w:tcW w:w="59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shd w:val="clear" w:color="auto" w:fill="ECECEC"/>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tcBorders>
              <w:bottom w:val="single" w:sz="8" w:color="auto"/>
            </w:tcBorders>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revaluation of warrants</w:t>
            </w:r>
          </w:p>
        </w:tc>
        <w:tc>
          <w:tcPr>
            <w:tcW w:w="1260" w:type="dxa"/>
            <w:vAlign w:val="bottom"/>
            <w:gridSpan w:val="2"/>
            <w:shd w:val="clear" w:color="auto" w:fill="ECECEC"/>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CECEC"/>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19,524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embedded derivative</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ECECEC"/>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2,641</w:t>
            </w: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Gain on disposition of marketable securities*</w:t>
            </w:r>
          </w:p>
        </w:tc>
        <w:tc>
          <w:tcPr>
            <w:tcW w:w="112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(13,690)</w:t>
            </w:r>
          </w:p>
        </w:tc>
        <w:tc>
          <w:tcPr>
            <w:tcW w:w="140" w:type="dxa"/>
            <w:vAlign w:val="bottom"/>
            <w:shd w:val="clear" w:color="auto" w:fill="ECECEC"/>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color w:val="auto"/>
                <w:w w:val="95"/>
              </w:rPr>
              <w:t>(2,274)</w:t>
            </w:r>
          </w:p>
        </w:tc>
        <w:tc>
          <w:tcPr>
            <w:tcW w:w="110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(44,332)</w:t>
            </w:r>
          </w:p>
        </w:tc>
        <w:tc>
          <w:tcPr>
            <w:tcW w:w="120" w:type="dxa"/>
            <w:vAlign w:val="bottom"/>
            <w:shd w:val="clear" w:color="auto" w:fill="ECECEC"/>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(2,274)</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currency exchange</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shd w:val="clear" w:color="auto" w:fill="ECECEC"/>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552</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1,884</w:t>
            </w:r>
          </w:p>
        </w:tc>
        <w:tc>
          <w:tcPr>
            <w:tcW w:w="12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credit facility and long-term debt</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3,020</w:t>
            </w:r>
          </w:p>
        </w:tc>
        <w:tc>
          <w:tcPr>
            <w:tcW w:w="140" w:type="dxa"/>
            <w:vAlign w:val="bottom"/>
            <w:shd w:val="clear" w:color="auto" w:fill="ECECEC"/>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541</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9,916</w:t>
            </w:r>
          </w:p>
        </w:tc>
        <w:tc>
          <w:tcPr>
            <w:tcW w:w="12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374</w:t>
            </w:r>
          </w:p>
        </w:tc>
        <w:tc>
          <w:tcPr>
            <w:tcW w:w="140" w:type="dxa"/>
            <w:vAlign w:val="bottom"/>
            <w:shd w:val="clear" w:color="auto" w:fill="ECECEC"/>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247</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1,034</w:t>
            </w:r>
          </w:p>
        </w:tc>
        <w:tc>
          <w:tcPr>
            <w:tcW w:w="12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ECECEC"/>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ECECEC"/>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Provision on VAT receivable**</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1,919</w:t>
            </w:r>
          </w:p>
        </w:tc>
        <w:tc>
          <w:tcPr>
            <w:tcW w:w="140" w:type="dxa"/>
            <w:vAlign w:val="bottom"/>
            <w:shd w:val="clear" w:color="auto" w:fill="ECECEC"/>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6,929</w:t>
            </w:r>
          </w:p>
        </w:tc>
        <w:tc>
          <w:tcPr>
            <w:tcW w:w="120" w:type="dxa"/>
            <w:vAlign w:val="bottom"/>
            <w:shd w:val="clear" w:color="auto" w:fill="ECECEC"/>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financial expenses</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40" w:type="dxa"/>
            <w:vAlign w:val="bottom"/>
            <w:tcBorders>
              <w:bottom w:val="single" w:sz="8" w:color="auto"/>
            </w:tcBorders>
            <w:shd w:val="clear" w:color="auto" w:fill="ECECEC"/>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318</w:t>
            </w:r>
          </w:p>
        </w:tc>
        <w:tc>
          <w:tcPr>
            <w:tcW w:w="1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c>
          <w:tcPr>
            <w:tcW w:w="120" w:type="dxa"/>
            <w:vAlign w:val="bottom"/>
            <w:tcBorders>
              <w:bottom w:val="single" w:sz="8" w:color="auto"/>
            </w:tcBorders>
            <w:shd w:val="clear" w:color="auto" w:fill="ECECEC"/>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348</w:t>
            </w:r>
          </w:p>
        </w:tc>
      </w:tr>
      <w:tr>
        <w:trPr>
          <w:trHeight w:val="243"/>
        </w:trPr>
        <w:tc>
          <w:tcPr>
            <w:tcW w:w="59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(8,251</w:t>
            </w:r>
          </w:p>
        </w:tc>
        <w:tc>
          <w:tcPr>
            <w:tcW w:w="140" w:type="dxa"/>
            <w:vAlign w:val="bottom"/>
            <w:tcBorders>
              <w:bottom w:val="single" w:sz="8" w:color="auto"/>
            </w:tcBorders>
            <w:shd w:val="clear" w:color="auto" w:fill="ECECEC"/>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(616)</w:t>
            </w:r>
          </w:p>
        </w:tc>
        <w:tc>
          <w:tcPr>
            <w:tcW w:w="11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(24,191</w:t>
            </w:r>
          </w:p>
        </w:tc>
        <w:tc>
          <w:tcPr>
            <w:tcW w:w="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23,936</w:t>
            </w:r>
          </w:p>
        </w:tc>
      </w:tr>
    </w:tbl>
    <w:p>
      <w:pPr>
        <w:spacing w:after="0" w:line="193" w:lineRule="exact"/>
        <w:rPr>
          <w:sz w:val="20"/>
          <w:szCs w:val="20"/>
          <w:color w:val="auto"/>
        </w:rPr>
      </w:pPr>
    </w:p>
    <w:p>
      <w:pPr>
        <w:jc w:val="both"/>
        <w:ind w:left="340" w:hanging="332"/>
        <w:spacing w:after="0" w:line="241" w:lineRule="auto"/>
        <w:tabs>
          <w:tab w:leader="none" w:pos="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2022, the Company has continued to fund its expansion in Argentina through the acquisition of marketable securities and in-kind contribution of these securities to the Company’s subsidiary in Argentina. The subsequent disposition of these marketable securities in exchange for Argentine Pesos gave rise to a gain as the amount received in ARS exceeds the amount of ARS the Company would have received from a direct foreign currency exchange.</w:t>
      </w:r>
    </w:p>
    <w:p>
      <w:pPr>
        <w:spacing w:after="0" w:line="177" w:lineRule="exact"/>
        <w:rPr>
          <w:sz w:val="20"/>
          <w:szCs w:val="20"/>
          <w:color w:val="auto"/>
        </w:rPr>
      </w:pPr>
    </w:p>
    <w:p>
      <w:pPr>
        <w:jc w:val="both"/>
        <w:ind w:left="340" w:hanging="332"/>
        <w:spacing w:after="0" w:line="236" w:lineRule="auto"/>
        <w:tabs>
          <w:tab w:leader="none" w:pos="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of Argentine VAT is not expected to be settled within the next 12 months, and, therefore, it has been classified as a long-term receivable in Note 8 with the short-term portion being included in sales tax receivable in Note 4. The Company has recorded a provision on this VAT receivable, which is classified within Net financial (income) expenses during the three and nine months ended September 30, 2022. Historically, ARS has devalued significantly when compared to USD due to high levels of inflation in Argentina, which may result in the Company recording future foreign exchange losses on its Argentina VAT receivable.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2022, potentially dilutive securities have not been included in the calculation of diluted earnings (loss) per share because their effect is antidilutive. The additional potentially dilutive securities that would have been included in the calculation for diluted earnings per share had their effect not been anti-dilutive, for the three and nine months ended September 30, 2022, would have been approximately 211,909,000 and 205,853,000,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30</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19:  GEOGRAPHICAL INFORMATION</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254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shd w:val="clear" w:color="auto" w:fill="ECECEC"/>
          </w:tcPr>
          <w:p>
            <w:pPr>
              <w:spacing w:after="0"/>
              <w:rPr>
                <w:sz w:val="20"/>
                <w:szCs w:val="20"/>
                <w:color w:val="auto"/>
              </w:rPr>
            </w:pPr>
          </w:p>
        </w:tc>
        <w:tc>
          <w:tcPr>
            <w:tcW w:w="6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440" w:type="dxa"/>
            <w:vAlign w:val="bottom"/>
            <w:shd w:val="clear" w:color="auto" w:fill="ECECEC"/>
          </w:tcPr>
          <w:p>
            <w:pPr>
              <w:spacing w:after="0"/>
              <w:rPr>
                <w:sz w:val="18"/>
                <w:szCs w:val="18"/>
                <w:color w:val="auto"/>
              </w:rPr>
            </w:pPr>
          </w:p>
        </w:tc>
        <w:tc>
          <w:tcPr>
            <w:tcW w:w="6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27,445</w:t>
            </w:r>
          </w:p>
        </w:tc>
        <w:tc>
          <w:tcPr>
            <w:tcW w:w="7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42,090</w:t>
            </w:r>
          </w:p>
        </w:tc>
        <w:tc>
          <w:tcPr>
            <w:tcW w:w="140" w:type="dxa"/>
            <w:vAlign w:val="bottom"/>
          </w:tcPr>
          <w:p>
            <w:pPr>
              <w:spacing w:after="0"/>
              <w:rPr>
                <w:sz w:val="18"/>
                <w:szCs w:val="18"/>
                <w:color w:val="auto"/>
              </w:rPr>
            </w:pPr>
          </w:p>
        </w:tc>
        <w:tc>
          <w:tcPr>
            <w:tcW w:w="110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90,540</w:t>
            </w:r>
          </w:p>
        </w:tc>
        <w:tc>
          <w:tcPr>
            <w:tcW w:w="6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104,652</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USA</w:t>
            </w:r>
          </w:p>
        </w:tc>
        <w:tc>
          <w:tcPr>
            <w:tcW w:w="440" w:type="dxa"/>
            <w:vAlign w:val="bottom"/>
            <w:shd w:val="clear" w:color="auto" w:fill="ECECEC"/>
          </w:tcPr>
          <w:p>
            <w:pPr>
              <w:spacing w:after="0"/>
              <w:rPr>
                <w:sz w:val="16"/>
                <w:szCs w:val="16"/>
                <w:color w:val="auto"/>
              </w:rPr>
            </w:pPr>
          </w:p>
        </w:tc>
        <w:tc>
          <w:tcPr>
            <w:tcW w:w="68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4,581</w:t>
            </w:r>
          </w:p>
        </w:tc>
        <w:tc>
          <w:tcPr>
            <w:tcW w:w="78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2,684</w:t>
            </w:r>
          </w:p>
        </w:tc>
        <w:tc>
          <w:tcPr>
            <w:tcW w:w="140" w:type="dxa"/>
            <w:vAlign w:val="bottom"/>
          </w:tcPr>
          <w:p>
            <w:pPr>
              <w:spacing w:after="0"/>
              <w:rPr>
                <w:sz w:val="16"/>
                <w:szCs w:val="16"/>
                <w:color w:val="auto"/>
              </w:rPr>
            </w:pPr>
          </w:p>
        </w:tc>
        <w:tc>
          <w:tcPr>
            <w:tcW w:w="1100" w:type="dxa"/>
            <w:vAlign w:val="bottom"/>
            <w:gridSpan w:val="2"/>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21,650</w:t>
            </w:r>
          </w:p>
        </w:tc>
        <w:tc>
          <w:tcPr>
            <w:tcW w:w="680" w:type="dxa"/>
            <w:vAlign w:val="bottom"/>
          </w:tcPr>
          <w:p>
            <w:pPr>
              <w:spacing w:after="0"/>
              <w:rPr>
                <w:sz w:val="16"/>
                <w:szCs w:val="16"/>
                <w:color w:val="auto"/>
              </w:rPr>
            </w:pPr>
          </w:p>
        </w:tc>
        <w:tc>
          <w:tcPr>
            <w:tcW w:w="7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5,241</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440" w:type="dxa"/>
            <w:vAlign w:val="bottom"/>
            <w:shd w:val="clear" w:color="auto" w:fill="ECECEC"/>
          </w:tcPr>
          <w:p>
            <w:pPr>
              <w:spacing w:after="0"/>
              <w:rPr>
                <w:sz w:val="20"/>
                <w:szCs w:val="20"/>
                <w:color w:val="auto"/>
              </w:rPr>
            </w:pPr>
          </w:p>
        </w:tc>
        <w:tc>
          <w:tcPr>
            <w:tcW w:w="68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6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w:t>
            </w:r>
          </w:p>
        </w:tc>
        <w:tc>
          <w:tcPr>
            <w:tcW w:w="440" w:type="dxa"/>
            <w:vAlign w:val="bottom"/>
            <w:tcBorders>
              <w:bottom w:val="single" w:sz="8" w:color="auto"/>
            </w:tcBorders>
            <w:shd w:val="clear" w:color="auto" w:fill="ECECEC"/>
          </w:tcPr>
          <w:p>
            <w:pPr>
              <w:spacing w:after="0"/>
              <w:rPr>
                <w:sz w:val="21"/>
                <w:szCs w:val="21"/>
                <w:color w:val="auto"/>
              </w:rPr>
            </w:pPr>
          </w:p>
        </w:tc>
        <w:tc>
          <w:tcPr>
            <w:tcW w:w="6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1,063</w:t>
            </w: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3,043</w:t>
            </w:r>
          </w:p>
        </w:tc>
        <w:tc>
          <w:tcPr>
            <w:tcW w:w="6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5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shd w:val="clear" w:color="auto" w:fill="ECECEC"/>
          </w:tcPr>
          <w:p>
            <w:pPr>
              <w:spacing w:after="0"/>
              <w:rPr>
                <w:sz w:val="21"/>
                <w:szCs w:val="21"/>
                <w:color w:val="auto"/>
              </w:rPr>
            </w:pPr>
          </w:p>
        </w:tc>
        <w:tc>
          <w:tcPr>
            <w:tcW w:w="6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33,247</w:t>
            </w: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44,774</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115,391</w:t>
            </w:r>
          </w:p>
        </w:tc>
        <w:tc>
          <w:tcPr>
            <w:tcW w:w="6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109,893</w:t>
            </w:r>
          </w:p>
        </w:tc>
        <w:tc>
          <w:tcPr>
            <w:tcW w:w="0" w:type="dxa"/>
            <w:vAlign w:val="bottom"/>
          </w:tcPr>
          <w:p>
            <w:pPr>
              <w:spacing w:after="0"/>
              <w:rPr>
                <w:sz w:val="1"/>
                <w:szCs w:val="1"/>
                <w:color w:val="auto"/>
              </w:rPr>
            </w:pPr>
          </w:p>
        </w:tc>
      </w:tr>
      <w:tr>
        <w:trPr>
          <w:trHeight w:val="43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4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ECECEC"/>
            </w:tcBorders>
          </w:tcPr>
          <w:p>
            <w:pPr>
              <w:spacing w:after="0"/>
              <w:rPr>
                <w:sz w:val="20"/>
                <w:szCs w:val="20"/>
                <w:color w:val="auto"/>
              </w:rPr>
            </w:pPr>
          </w:p>
        </w:tc>
        <w:tc>
          <w:tcPr>
            <w:tcW w:w="11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Canada</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ECECEC"/>
            </w:tcBorders>
          </w:tcPr>
          <w:p>
            <w:pPr>
              <w:spacing w:after="0"/>
              <w:rPr>
                <w:sz w:val="18"/>
                <w:szCs w:val="18"/>
                <w:color w:val="auto"/>
              </w:rPr>
            </w:pPr>
          </w:p>
        </w:tc>
        <w:tc>
          <w:tcPr>
            <w:tcW w:w="110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154,719</w:t>
            </w:r>
          </w:p>
        </w:tc>
        <w:tc>
          <w:tcPr>
            <w:tcW w:w="680" w:type="dxa"/>
            <w:vAlign w:val="bottom"/>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83,402</w:t>
            </w:r>
          </w:p>
        </w:tc>
        <w:tc>
          <w:tcPr>
            <w:tcW w:w="0" w:type="dxa"/>
            <w:vAlign w:val="bottom"/>
          </w:tcPr>
          <w:p>
            <w:pPr>
              <w:spacing w:after="0"/>
              <w:rPr>
                <w:sz w:val="1"/>
                <w:szCs w:val="1"/>
                <w:color w:val="auto"/>
              </w:rPr>
            </w:pPr>
          </w:p>
        </w:tc>
      </w:tr>
      <w:tr>
        <w:trPr>
          <w:trHeight w:val="194"/>
        </w:trPr>
        <w:tc>
          <w:tcPr>
            <w:tcW w:w="6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USA</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ECECEC"/>
            </w:tcBorders>
          </w:tcPr>
          <w:p>
            <w:pPr>
              <w:spacing w:after="0"/>
              <w:rPr>
                <w:sz w:val="16"/>
                <w:szCs w:val="16"/>
                <w:color w:val="auto"/>
              </w:rPr>
            </w:pPr>
          </w:p>
        </w:tc>
        <w:tc>
          <w:tcPr>
            <w:tcW w:w="1100" w:type="dxa"/>
            <w:vAlign w:val="bottom"/>
            <w:gridSpan w:val="2"/>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42,660</w:t>
            </w:r>
          </w:p>
        </w:tc>
        <w:tc>
          <w:tcPr>
            <w:tcW w:w="680" w:type="dxa"/>
            <w:vAlign w:val="bottom"/>
          </w:tcPr>
          <w:p>
            <w:pPr>
              <w:spacing w:after="0"/>
              <w:rPr>
                <w:sz w:val="16"/>
                <w:szCs w:val="16"/>
                <w:color w:val="auto"/>
              </w:rPr>
            </w:pPr>
          </w:p>
        </w:tc>
        <w:tc>
          <w:tcPr>
            <w:tcW w:w="76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51,672</w:t>
            </w:r>
          </w:p>
        </w:tc>
        <w:tc>
          <w:tcPr>
            <w:tcW w:w="0" w:type="dxa"/>
            <w:vAlign w:val="bottom"/>
          </w:tcPr>
          <w:p>
            <w:pPr>
              <w:spacing w:after="0"/>
              <w:rPr>
                <w:sz w:val="1"/>
                <w:szCs w:val="1"/>
                <w:color w:val="auto"/>
              </w:rPr>
            </w:pP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Argentina</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ECECEC"/>
            </w:tcBorders>
          </w:tcPr>
          <w:p>
            <w:pPr>
              <w:spacing w:after="0"/>
              <w:rPr>
                <w:sz w:val="20"/>
                <w:szCs w:val="20"/>
                <w:color w:val="auto"/>
              </w:rPr>
            </w:pPr>
          </w:p>
        </w:tc>
        <w:tc>
          <w:tcPr>
            <w:tcW w:w="110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21,387</w:t>
            </w:r>
          </w:p>
        </w:tc>
        <w:tc>
          <w:tcPr>
            <w:tcW w:w="6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Paraguay</w:t>
            </w:r>
          </w:p>
        </w:tc>
        <w:tc>
          <w:tcPr>
            <w:tcW w:w="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ECECEC"/>
            </w:tcBorders>
          </w:tcPr>
          <w:p>
            <w:pPr>
              <w:spacing w:after="0"/>
              <w:rPr>
                <w:sz w:val="21"/>
                <w:szCs w:val="21"/>
                <w:color w:val="auto"/>
              </w:rPr>
            </w:pPr>
          </w:p>
        </w:tc>
        <w:tc>
          <w:tcPr>
            <w:tcW w:w="11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1,363</w:t>
            </w:r>
          </w:p>
        </w:tc>
        <w:tc>
          <w:tcPr>
            <w:tcW w:w="6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44"/>
        </w:trPr>
        <w:tc>
          <w:tcPr>
            <w:tcW w:w="59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ECECEC"/>
            </w:tcBorders>
          </w:tcPr>
          <w:p>
            <w:pPr>
              <w:spacing w:after="0"/>
              <w:rPr>
                <w:sz w:val="21"/>
                <w:szCs w:val="21"/>
                <w:color w:val="auto"/>
              </w:rPr>
            </w:pPr>
          </w:p>
        </w:tc>
        <w:tc>
          <w:tcPr>
            <w:tcW w:w="11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220,129</w:t>
            </w:r>
          </w:p>
        </w:tc>
        <w:tc>
          <w:tcPr>
            <w:tcW w:w="6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136,850</w:t>
            </w:r>
          </w:p>
        </w:tc>
        <w:tc>
          <w:tcPr>
            <w:tcW w:w="0" w:type="dxa"/>
            <w:vAlign w:val="bottom"/>
          </w:tcPr>
          <w:p>
            <w:pPr>
              <w:spacing w:after="0"/>
              <w:rPr>
                <w:sz w:val="1"/>
                <w:szCs w:val="1"/>
                <w:color w:val="auto"/>
              </w:rPr>
            </w:pPr>
          </w:p>
        </w:tc>
      </w:tr>
      <w:tr>
        <w:trPr>
          <w:trHeight w:val="43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20:  ADDITIONAL DETAILS TO THE STATEMENT OF CASH FLOWS</w:t>
            </w: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shd w:val="clear" w:color="auto" w:fill="ECECEC"/>
          </w:tcPr>
          <w:p>
            <w:pPr>
              <w:spacing w:after="0"/>
              <w:rPr>
                <w:sz w:val="20"/>
                <w:szCs w:val="20"/>
                <w:color w:val="auto"/>
              </w:rPr>
            </w:pPr>
          </w:p>
        </w:tc>
        <w:tc>
          <w:tcPr>
            <w:tcW w:w="680" w:type="dxa"/>
            <w:vAlign w:val="bottom"/>
            <w:tcBorders>
              <w:left w:val="single" w:sz="8" w:color="ECECEC"/>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working capital components:</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ECECEC"/>
            </w:tcBorders>
            <w:shd w:val="clear" w:color="auto" w:fill="ECECEC"/>
          </w:tcPr>
          <w:p>
            <w:pPr>
              <w:spacing w:after="0"/>
              <w:rPr>
                <w:sz w:val="18"/>
                <w:szCs w:val="18"/>
                <w:color w:val="auto"/>
              </w:rPr>
            </w:pPr>
          </w:p>
        </w:tc>
        <w:tc>
          <w:tcPr>
            <w:tcW w:w="104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(377)</w:t>
            </w:r>
          </w:p>
        </w:tc>
        <w:tc>
          <w:tcPr>
            <w:tcW w:w="60" w:type="dxa"/>
            <w:vAlign w:val="bottom"/>
            <w:shd w:val="clear" w:color="auto" w:fill="ECECEC"/>
          </w:tcPr>
          <w:p>
            <w:pPr>
              <w:spacing w:after="0"/>
              <w:rPr>
                <w:sz w:val="18"/>
                <w:szCs w:val="18"/>
                <w:color w:val="auto"/>
              </w:rPr>
            </w:pPr>
          </w:p>
        </w:tc>
        <w:tc>
          <w:tcPr>
            <w:tcW w:w="680" w:type="dxa"/>
            <w:vAlign w:val="bottom"/>
            <w:tcBorders>
              <w:left w:val="single" w:sz="8" w:color="ECECEC"/>
            </w:tcBorders>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trade receivables, net</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ECECEC"/>
            </w:tcBorders>
            <w:shd w:val="clear" w:color="auto" w:fill="ECECEC"/>
          </w:tcPr>
          <w:p>
            <w:pPr>
              <w:spacing w:after="0"/>
              <w:rPr>
                <w:sz w:val="18"/>
                <w:szCs w:val="18"/>
                <w:color w:val="auto"/>
              </w:rPr>
            </w:pPr>
          </w:p>
        </w:tc>
        <w:tc>
          <w:tcPr>
            <w:tcW w:w="1040" w:type="dxa"/>
            <w:vAlign w:val="bottom"/>
            <w:vMerge w:val="continue"/>
            <w:shd w:val="clear" w:color="auto" w:fill="ECECEC"/>
          </w:tcPr>
          <w:p>
            <w:pPr>
              <w:spacing w:after="0"/>
              <w:rPr>
                <w:sz w:val="18"/>
                <w:szCs w:val="18"/>
                <w:color w:val="auto"/>
              </w:rPr>
            </w:pPr>
          </w:p>
        </w:tc>
        <w:tc>
          <w:tcPr>
            <w:tcW w:w="60" w:type="dxa"/>
            <w:vAlign w:val="bottom"/>
            <w:shd w:val="clear" w:color="auto" w:fill="ECECEC"/>
          </w:tcPr>
          <w:p>
            <w:pPr>
              <w:spacing w:after="0"/>
              <w:rPr>
                <w:sz w:val="18"/>
                <w:szCs w:val="18"/>
                <w:color w:val="auto"/>
              </w:rPr>
            </w:pPr>
          </w:p>
        </w:tc>
        <w:tc>
          <w:tcPr>
            <w:tcW w:w="680" w:type="dxa"/>
            <w:vAlign w:val="bottom"/>
            <w:tcBorders>
              <w:left w:val="single" w:sz="8" w:color="ECECEC"/>
            </w:tcBorders>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194"/>
        </w:trPr>
        <w:tc>
          <w:tcPr>
            <w:tcW w:w="6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Decrease (increase) in other current assets</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ECECEC"/>
            </w:tcBorders>
            <w:shd w:val="clear" w:color="auto" w:fill="ECECEC"/>
          </w:tcPr>
          <w:p>
            <w:pPr>
              <w:spacing w:after="0"/>
              <w:rPr>
                <w:sz w:val="16"/>
                <w:szCs w:val="16"/>
                <w:color w:val="auto"/>
              </w:rPr>
            </w:pPr>
          </w:p>
        </w:tc>
        <w:tc>
          <w:tcPr>
            <w:tcW w:w="104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1,364</w:t>
            </w:r>
          </w:p>
        </w:tc>
        <w:tc>
          <w:tcPr>
            <w:tcW w:w="60" w:type="dxa"/>
            <w:vAlign w:val="bottom"/>
            <w:shd w:val="clear" w:color="auto" w:fill="ECECEC"/>
          </w:tcPr>
          <w:p>
            <w:pPr>
              <w:spacing w:after="0"/>
              <w:rPr>
                <w:sz w:val="16"/>
                <w:szCs w:val="16"/>
                <w:color w:val="auto"/>
              </w:rPr>
            </w:pPr>
          </w:p>
        </w:tc>
        <w:tc>
          <w:tcPr>
            <w:tcW w:w="680" w:type="dxa"/>
            <w:vAlign w:val="bottom"/>
            <w:tcBorders>
              <w:left w:val="single" w:sz="8" w:color="ECECEC"/>
            </w:tcBorders>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(4,901)</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long-term deposits</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ECECEC"/>
            </w:tcBorders>
            <w:shd w:val="clear" w:color="auto" w:fill="ECECEC"/>
          </w:tcPr>
          <w:p>
            <w:pPr>
              <w:spacing w:after="0"/>
              <w:rPr>
                <w:sz w:val="18"/>
                <w:szCs w:val="18"/>
                <w:color w:val="auto"/>
              </w:rPr>
            </w:pPr>
          </w:p>
        </w:tc>
        <w:tc>
          <w:tcPr>
            <w:tcW w:w="10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(8,997)</w:t>
            </w:r>
          </w:p>
        </w:tc>
        <w:tc>
          <w:tcPr>
            <w:tcW w:w="60" w:type="dxa"/>
            <w:vAlign w:val="bottom"/>
            <w:shd w:val="clear" w:color="auto" w:fill="ECECEC"/>
          </w:tcPr>
          <w:p>
            <w:pPr>
              <w:spacing w:after="0"/>
              <w:rPr>
                <w:sz w:val="18"/>
                <w:szCs w:val="18"/>
                <w:color w:val="auto"/>
              </w:rPr>
            </w:pPr>
          </w:p>
        </w:tc>
        <w:tc>
          <w:tcPr>
            <w:tcW w:w="680" w:type="dxa"/>
            <w:vAlign w:val="bottom"/>
            <w:tcBorders>
              <w:left w:val="single" w:sz="8" w:color="ECECEC"/>
            </w:tcBorders>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trade payables and accrued liabilities</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ECECEC"/>
            </w:tcBorders>
            <w:shd w:val="clear" w:color="auto" w:fill="ECECEC"/>
          </w:tcPr>
          <w:p>
            <w:pPr>
              <w:spacing w:after="0"/>
              <w:rPr>
                <w:sz w:val="20"/>
                <w:szCs w:val="20"/>
                <w:color w:val="auto"/>
              </w:rPr>
            </w:pPr>
          </w:p>
        </w:tc>
        <w:tc>
          <w:tcPr>
            <w:tcW w:w="10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(3,992)</w:t>
            </w:r>
          </w:p>
        </w:tc>
        <w:tc>
          <w:tcPr>
            <w:tcW w:w="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left w:val="single" w:sz="8" w:color="ECECEC"/>
            </w:tcBorders>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3,036</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Increase (decrease) in taxes payable</w:t>
            </w:r>
          </w:p>
        </w:tc>
        <w:tc>
          <w:tcPr>
            <w:tcW w:w="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ECECEC"/>
            </w:tcBorders>
            <w:shd w:val="clear" w:color="auto" w:fill="ECECEC"/>
          </w:tcPr>
          <w:p>
            <w:pPr>
              <w:spacing w:after="0"/>
              <w:rPr>
                <w:sz w:val="21"/>
                <w:szCs w:val="21"/>
                <w:color w:val="auto"/>
              </w:rPr>
            </w:pPr>
          </w:p>
        </w:tc>
        <w:tc>
          <w:tcPr>
            <w:tcW w:w="10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60" w:type="dxa"/>
            <w:vAlign w:val="bottom"/>
            <w:tcBorders>
              <w:bottom w:val="single" w:sz="8" w:color="auto"/>
            </w:tcBorders>
            <w:vMerge w:val="continue"/>
            <w:shd w:val="clear" w:color="auto" w:fill="ECECEC"/>
          </w:tcPr>
          <w:p>
            <w:pPr>
              <w:spacing w:after="0"/>
              <w:rPr>
                <w:sz w:val="21"/>
                <w:szCs w:val="21"/>
                <w:color w:val="auto"/>
              </w:rPr>
            </w:pPr>
          </w:p>
        </w:tc>
        <w:tc>
          <w:tcPr>
            <w:tcW w:w="680" w:type="dxa"/>
            <w:vAlign w:val="bottom"/>
            <w:tcBorders>
              <w:left w:val="single" w:sz="8" w:color="ECECEC"/>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6,327</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ECECEC"/>
            </w:tcBorders>
            <w:shd w:val="clear" w:color="auto" w:fill="ECECEC"/>
          </w:tcPr>
          <w:p>
            <w:pPr>
              <w:spacing w:after="0"/>
              <w:rPr>
                <w:sz w:val="20"/>
                <w:szCs w:val="20"/>
                <w:color w:val="auto"/>
              </w:rPr>
            </w:pPr>
          </w:p>
        </w:tc>
        <w:tc>
          <w:tcPr>
            <w:tcW w:w="10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(12,404</w:t>
            </w:r>
          </w:p>
        </w:tc>
        <w:tc>
          <w:tcPr>
            <w:tcW w:w="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left w:val="single" w:sz="8" w:color="ECECEC"/>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4,151</w:t>
            </w:r>
          </w:p>
        </w:tc>
        <w:tc>
          <w:tcPr>
            <w:tcW w:w="0" w:type="dxa"/>
            <w:vAlign w:val="bottom"/>
          </w:tcPr>
          <w:p>
            <w:pPr>
              <w:spacing w:after="0"/>
              <w:rPr>
                <w:sz w:val="1"/>
                <w:szCs w:val="1"/>
                <w:color w:val="auto"/>
              </w:rPr>
            </w:pPr>
          </w:p>
        </w:tc>
      </w:tr>
      <w:tr>
        <w:trPr>
          <w:trHeight w:val="191"/>
        </w:trPr>
        <w:tc>
          <w:tcPr>
            <w:tcW w:w="64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Significant non-cash transactions:</w:t>
            </w: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Borders>
              <w:right w:val="single" w:sz="8" w:color="ECECEC"/>
            </w:tcBorders>
            <w:shd w:val="clear" w:color="auto" w:fill="ECECEC"/>
          </w:tcPr>
          <w:p>
            <w:pPr>
              <w:spacing w:after="0"/>
              <w:rPr>
                <w:sz w:val="16"/>
                <w:szCs w:val="16"/>
                <w:color w:val="auto"/>
              </w:rPr>
            </w:pPr>
          </w:p>
        </w:tc>
        <w:tc>
          <w:tcPr>
            <w:tcW w:w="104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9,182</w:t>
            </w:r>
          </w:p>
        </w:tc>
        <w:tc>
          <w:tcPr>
            <w:tcW w:w="60" w:type="dxa"/>
            <w:vAlign w:val="bottom"/>
            <w:shd w:val="clear" w:color="auto" w:fill="ECECEC"/>
          </w:tcPr>
          <w:p>
            <w:pPr>
              <w:spacing w:after="0"/>
              <w:rPr>
                <w:sz w:val="16"/>
                <w:szCs w:val="16"/>
                <w:color w:val="auto"/>
              </w:rPr>
            </w:pPr>
          </w:p>
        </w:tc>
        <w:tc>
          <w:tcPr>
            <w:tcW w:w="680" w:type="dxa"/>
            <w:vAlign w:val="bottom"/>
            <w:tcBorders>
              <w:left w:val="single" w:sz="8" w:color="ECECEC"/>
            </w:tcBorders>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Addition of right-of-use assets, property, plant and equipment and related lease liabilities</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ECECEC"/>
            </w:tcBorders>
            <w:shd w:val="clear" w:color="auto" w:fill="ECECEC"/>
          </w:tcPr>
          <w:p>
            <w:pPr>
              <w:spacing w:after="0"/>
              <w:rPr>
                <w:sz w:val="18"/>
                <w:szCs w:val="18"/>
                <w:color w:val="auto"/>
              </w:rPr>
            </w:pPr>
          </w:p>
        </w:tc>
        <w:tc>
          <w:tcPr>
            <w:tcW w:w="1040" w:type="dxa"/>
            <w:vAlign w:val="bottom"/>
            <w:vMerge w:val="continue"/>
            <w:shd w:val="clear" w:color="auto" w:fill="ECECEC"/>
          </w:tcPr>
          <w:p>
            <w:pPr>
              <w:spacing w:after="0"/>
              <w:rPr>
                <w:sz w:val="18"/>
                <w:szCs w:val="18"/>
                <w:color w:val="auto"/>
              </w:rPr>
            </w:pPr>
          </w:p>
        </w:tc>
        <w:tc>
          <w:tcPr>
            <w:tcW w:w="60" w:type="dxa"/>
            <w:vAlign w:val="bottom"/>
            <w:shd w:val="clear" w:color="auto" w:fill="ECECEC"/>
          </w:tcPr>
          <w:p>
            <w:pPr>
              <w:spacing w:after="0"/>
              <w:rPr>
                <w:sz w:val="18"/>
                <w:szCs w:val="18"/>
                <w:color w:val="auto"/>
              </w:rPr>
            </w:pPr>
          </w:p>
        </w:tc>
        <w:tc>
          <w:tcPr>
            <w:tcW w:w="680" w:type="dxa"/>
            <w:vAlign w:val="bottom"/>
            <w:tcBorders>
              <w:left w:val="single" w:sz="8" w:color="ECECEC"/>
            </w:tcBorders>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9,271</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of property, plant and equipment financed by short-term credit</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ECECEC"/>
            </w:tcBorders>
            <w:shd w:val="clear" w:color="auto" w:fill="ECECEC"/>
          </w:tcPr>
          <w:p>
            <w:pPr>
              <w:spacing w:after="0"/>
              <w:rPr>
                <w:sz w:val="18"/>
                <w:szCs w:val="18"/>
                <w:color w:val="auto"/>
              </w:rPr>
            </w:pPr>
          </w:p>
        </w:tc>
        <w:tc>
          <w:tcPr>
            <w:tcW w:w="10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1,910</w:t>
            </w:r>
          </w:p>
        </w:tc>
        <w:tc>
          <w:tcPr>
            <w:tcW w:w="60" w:type="dxa"/>
            <w:vAlign w:val="bottom"/>
            <w:shd w:val="clear" w:color="auto" w:fill="ECECEC"/>
          </w:tcPr>
          <w:p>
            <w:pPr>
              <w:spacing w:after="0"/>
              <w:rPr>
                <w:sz w:val="18"/>
                <w:szCs w:val="18"/>
                <w:color w:val="auto"/>
              </w:rPr>
            </w:pPr>
          </w:p>
        </w:tc>
        <w:tc>
          <w:tcPr>
            <w:tcW w:w="680" w:type="dxa"/>
            <w:vAlign w:val="bottom"/>
            <w:tcBorders>
              <w:left w:val="single" w:sz="8" w:color="ECECEC"/>
            </w:tcBorders>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1,229</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Extinguishment of warrant liability and long-term debt through share issuance</w:t>
            </w: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right w:val="single" w:sz="8" w:color="ECECEC"/>
            </w:tcBorders>
            <w:shd w:val="clear" w:color="auto" w:fill="ECECEC"/>
          </w:tcPr>
          <w:p>
            <w:pPr>
              <w:spacing w:after="0"/>
              <w:rPr>
                <w:sz w:val="18"/>
                <w:szCs w:val="18"/>
                <w:color w:val="auto"/>
              </w:rPr>
            </w:pPr>
          </w:p>
        </w:tc>
        <w:tc>
          <w:tcPr>
            <w:tcW w:w="10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ECECEC"/>
          </w:tcPr>
          <w:p>
            <w:pPr>
              <w:spacing w:after="0"/>
              <w:rPr>
                <w:sz w:val="18"/>
                <w:szCs w:val="18"/>
                <w:color w:val="auto"/>
              </w:rPr>
            </w:pPr>
          </w:p>
        </w:tc>
        <w:tc>
          <w:tcPr>
            <w:tcW w:w="680" w:type="dxa"/>
            <w:vAlign w:val="bottom"/>
            <w:tcBorders>
              <w:left w:val="single" w:sz="8" w:color="ECECEC"/>
            </w:tcBorders>
          </w:tcPr>
          <w:p>
            <w:pPr>
              <w:spacing w:after="0"/>
              <w:rPr>
                <w:sz w:val="18"/>
                <w:szCs w:val="18"/>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24,322</w:t>
            </w:r>
          </w:p>
        </w:tc>
        <w:tc>
          <w:tcPr>
            <w:tcW w:w="0" w:type="dxa"/>
            <w:vAlign w:val="bottom"/>
          </w:tcPr>
          <w:p>
            <w:pPr>
              <w:spacing w:after="0"/>
              <w:rPr>
                <w:sz w:val="1"/>
                <w:szCs w:val="1"/>
                <w:color w:val="auto"/>
              </w:rPr>
            </w:pP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prepayments realized as additions to property, plant and equipment</w:t>
            </w: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right w:val="single" w:sz="8" w:color="ECECEC"/>
            </w:tcBorders>
            <w:shd w:val="clear" w:color="auto" w:fill="ECECEC"/>
          </w:tcPr>
          <w:p>
            <w:pPr>
              <w:spacing w:after="0"/>
              <w:rPr>
                <w:sz w:val="20"/>
                <w:szCs w:val="20"/>
                <w:color w:val="auto"/>
              </w:rPr>
            </w:pPr>
          </w:p>
        </w:tc>
        <w:tc>
          <w:tcPr>
            <w:tcW w:w="10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51,948</w:t>
            </w:r>
          </w:p>
        </w:tc>
        <w:tc>
          <w:tcPr>
            <w:tcW w:w="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Borders>
              <w:left w:val="single" w:sz="8" w:color="ECECEC"/>
            </w:tcBorders>
          </w:tcPr>
          <w:p>
            <w:pPr>
              <w:spacing w:after="0"/>
              <w:rPr>
                <w:sz w:val="20"/>
                <w:szCs w:val="20"/>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Deferred tax expense related to equity issuance costs</w:t>
            </w:r>
          </w:p>
        </w:tc>
        <w:tc>
          <w:tcPr>
            <w:tcW w:w="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0" w:type="dxa"/>
            <w:vAlign w:val="bottom"/>
            <w:tcBorders>
              <w:bottom w:val="single" w:sz="8" w:color="auto"/>
              <w:right w:val="single" w:sz="8" w:color="ECECEC"/>
            </w:tcBorders>
            <w:shd w:val="clear" w:color="auto" w:fill="ECECEC"/>
          </w:tcPr>
          <w:p>
            <w:pPr>
              <w:spacing w:after="0"/>
              <w:rPr>
                <w:sz w:val="21"/>
                <w:szCs w:val="21"/>
                <w:color w:val="auto"/>
              </w:rPr>
            </w:pPr>
          </w:p>
        </w:tc>
        <w:tc>
          <w:tcPr>
            <w:tcW w:w="10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(3,895</w:t>
            </w:r>
          </w:p>
        </w:tc>
        <w:tc>
          <w:tcPr>
            <w:tcW w:w="60" w:type="dxa"/>
            <w:vAlign w:val="bottom"/>
            <w:tcBorders>
              <w:bottom w:val="single" w:sz="8" w:color="auto"/>
            </w:tcBorders>
            <w:vMerge w:val="continue"/>
            <w:shd w:val="clear" w:color="auto" w:fill="ECECEC"/>
          </w:tcPr>
          <w:p>
            <w:pPr>
              <w:spacing w:after="0"/>
              <w:rPr>
                <w:sz w:val="21"/>
                <w:szCs w:val="21"/>
                <w:color w:val="auto"/>
              </w:rPr>
            </w:pPr>
          </w:p>
        </w:tc>
        <w:tc>
          <w:tcPr>
            <w:tcW w:w="680" w:type="dxa"/>
            <w:vAlign w:val="bottom"/>
            <w:tcBorders>
              <w:left w:val="single" w:sz="8" w:color="ECECEC"/>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33"/>
        </w:trPr>
        <w:tc>
          <w:tcPr>
            <w:tcW w:w="5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for data relating to quantity of PPE, shares, warrants and digital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NOTE 21:</w:t>
        <w:tab/>
        <w:t>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Equity Program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October 1, 2022, to November 11, 2022, the Company issued 1,861,000 common shares in exchange for gross proceeds of $1,932 at an average share price of approximately USD$1.04. The Company received net proceeds of $1,866 after paying commissions of $66 to the Company’s agent. Refer to Note 15 for further details of the Company’s at-the-market equity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agreement of De la Pointe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12, 2022, the Company signed an offer to purchase with a third party to sell the De la Pointe building, included in property, plant and equipment, for $3,605 (CAD $5,000), which is expected to result in a gain on disposition of approximately $269.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Extension of lease in Washington state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20, 2022, the Company signed a lease extension for its facility in Washington state for a period of 23 months with similar terms, which has taken effect in November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85" w:lineRule="exact"/>
        <w:rPr>
          <w:sz w:val="20"/>
          <w:szCs w:val="20"/>
          <w:color w:val="auto"/>
        </w:rPr>
      </w:pPr>
    </w:p>
    <w:p>
      <w:pPr>
        <w:ind w:left="10200"/>
        <w:spacing w:after="0"/>
        <w:tabs>
          <w:tab w:leader="none" w:pos="1066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Page</w:t>
      </w:r>
    </w:p>
    <w:p>
      <w:pPr>
        <w:sectPr>
          <w:pgSz w:w="11900" w:h="16838" w:orient="portrait"/>
          <w:cols w:equalWidth="0" w:num="1">
            <w:col w:w="11240"/>
          </w:cols>
          <w:pgMar w:left="320" w:top="900" w:right="339" w:bottom="1440" w:gutter="0" w:footer="0" w:header="0"/>
        </w:sectPr>
      </w:pPr>
    </w:p>
    <w:bookmarkStart w:id="35" w:name="page36"/>
    <w:bookmarkEnd w:id="35"/>
    <w:p>
      <w:pPr>
        <w:ind w:left="920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3440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934402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Contents</w:t>
            </w:r>
          </w:p>
        </w:tc>
        <w:tc>
          <w:tcPr>
            <w:tcW w:w="3340" w:type="dxa"/>
            <w:vAlign w:val="bottom"/>
          </w:tcPr>
          <w:p>
            <w:pPr>
              <w:spacing w:after="0"/>
              <w:rPr>
                <w:sz w:val="20"/>
                <w:szCs w:val="20"/>
                <w:color w:val="auto"/>
              </w:rPr>
            </w:pPr>
          </w:p>
        </w:tc>
      </w:tr>
      <w:tr>
        <w:trPr>
          <w:trHeight w:val="41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Introduction</w:t>
            </w:r>
          </w:p>
        </w:tc>
        <w:tc>
          <w:tcPr>
            <w:tcW w:w="33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Company Overview</w:t>
            </w:r>
          </w:p>
        </w:tc>
        <w:tc>
          <w:tcPr>
            <w:tcW w:w="33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Results of Operations</w:t>
            </w:r>
          </w:p>
        </w:tc>
        <w:tc>
          <w:tcPr>
            <w:tcW w:w="33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Selected Quarterly Information</w:t>
            </w:r>
          </w:p>
        </w:tc>
        <w:tc>
          <w:tcPr>
            <w:tcW w:w="33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Reconciliation of Non-IFRS measures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Geographical Information</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Flows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Working Capital</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Resources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Off-Balance Sheet Arrangements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Share Capital</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 &amp; Risks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Recent and Subsequent Events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Caution Regarding Forward-Looking Statements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Caution Regarding Non-IFRS Financial Performance Measures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Internal Controls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Information</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25</w:t>
            </w:r>
          </w:p>
        </w:tc>
      </w:t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Glossary of Terms</w:t>
            </w:r>
          </w:p>
        </w:tc>
        <w:tc>
          <w:tcPr>
            <w:tcW w:w="334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0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(the “MD&amp;A”) for Bitfarms Ltd. (together with its subsidiaries, the “Company” or “Bitfarms”), dated November 14, 2022, should be read in conjunction with the Company’s third quarter 2022 unaudited interim period condensed consolidated financial statements and its accompanying notes, and the Company’s 2021 audited annual consolidated financial statements and its accompanying notes. In addition, the MD&amp;A should be read in conjunction with the Company’s Annual Information Form dated March 28, 2022, which, along with the financial statements, is available on SEDAR at www.sedar.com.</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third quarter 2022 unaudited interim period condensed consolidated financial statements and its accompanying notes have been prepared in accordance with International Financial Reporting Standards (“IFRS”) as issued by the International Accounting Standards Board (“IASB”), including IAS 34. The Company’s third quarter 2022 unaudited interim period condensed consolidated financial statements and this MD&amp;A are reported in thousands of US dollars and US dollars, respectively, except where otherwise noted.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 This MD&amp;A contains various terms related to the Company’s business and industry which are defined in the Glossary of Terms section of this MD&amp;A.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operations are predominantly in Canada and the United States, with new operations having commenced in Paraguay and Argentina in 2022. Bitfarms owns and operates server farms, comprised of computers (referred to as “Miners”) designed for the purpose of validating transactions on the Bitcoin (“BTC”) Blockchain. The Miners operate 24 hours a day and revenue is earned from Block Rewards and transaction fees issued in the form of cryptocurrencies by the BTC network. The Company contributes its Hashrate, which is used to validate transactions (referred to as “Mining”), to a Mining Pool in exchange for cryptocurrency tokens. Bitfarms accumulates its mined cryptocurrencies or exchanges them for U.S. dollars, as needed, through reputable and established cryptocurrency trading platforms. 9159-9290 Quebec Inc. (Volta), a wholly-owned subsidiary of Bitfarms, assists the Company in building and maintaining its server farms and provides electrician services to both commercial and residential customers in Quebec.</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Bitfarms operates seven server farm facilities in Quebec, Canada, with electrical infrastructure capacity of 142 MW for Mining BTC. The Company has contracts securing an aggregate of 160 MW of hydro-electric green energy in Quebec. On November 9, 2021, the Company acquired a Mining facility powered by hydro-electric green energy with a maximum capacity of up to 24 MW in Washington state as described in note 3 of the third quarter 2022 unaudited interim period condensed consolidated financial statements. The Company currently has 20 MW of operational electrical infrastructure and is in the process of upgrading the facility, as described in the </w:t>
      </w:r>
      <w:r>
        <w:rPr>
          <w:rFonts w:ascii="Times New Roman" w:cs="Times New Roman" w:eastAsia="Times New Roman" w:hAnsi="Times New Roman"/>
          <w:sz w:val="18"/>
          <w:szCs w:val="18"/>
          <w:i w:val="1"/>
          <w:iCs w:val="1"/>
          <w:color w:val="auto"/>
        </w:rPr>
        <w:t>Washington Expansion</w:t>
      </w:r>
      <w:r>
        <w:rPr>
          <w:rFonts w:ascii="Times New Roman" w:cs="Times New Roman" w:eastAsia="Times New Roman" w:hAnsi="Times New Roman"/>
          <w:sz w:val="18"/>
          <w:szCs w:val="18"/>
          <w:color w:val="auto"/>
        </w:rPr>
        <w:t xml:space="preserve"> section of this MD&amp;A. In January 2022, the Company began operating a server farm facility in Paraguay with electrical infrastructure of 10 MW powered by hydro-electric green energy. During 2021, the Company also secured 210 MW of natural gas-powered energy in Argentina and commenced the design, construction and procurement of infrastructure equipment for a mining facility at the energy source. In September 2022, the Company began operating a portion of the first warehouse with electrical infrastructure of 10 MW, as described in the </w:t>
      </w:r>
      <w:r>
        <w:rPr>
          <w:rFonts w:ascii="Times New Roman" w:cs="Times New Roman" w:eastAsia="Times New Roman" w:hAnsi="Times New Roman"/>
          <w:sz w:val="18"/>
          <w:szCs w:val="18"/>
          <w:i w:val="1"/>
          <w:iCs w:val="1"/>
          <w:color w:val="auto"/>
        </w:rPr>
        <w:t>Argentina Expansion</w:t>
      </w:r>
      <w:r>
        <w:rPr>
          <w:rFonts w:ascii="Times New Roman" w:cs="Times New Roman" w:eastAsia="Times New Roman" w:hAnsi="Times New Roman"/>
          <w:sz w:val="18"/>
          <w:szCs w:val="18"/>
          <w:color w:val="auto"/>
        </w:rPr>
        <w:t xml:space="preserve"> section of this MD&amp;A. In addition, Bitfarms owns proprietary software that is used to monitor, control, manage and secure its Mining operations. The software tracks individually the location and scans and reports the computing power and temperature of all Miners to allow the Company to monitor performance and ensure Miners are operating at maximum capacity and up-time.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 Data</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60" w:type="dxa"/>
            <w:vAlign w:val="bottom"/>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5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auto"/>
              <w:right w:val="single" w:sz="8" w:color="ECECEC"/>
            </w:tcBorders>
          </w:tcPr>
          <w:p>
            <w:pPr>
              <w:spacing w:after="0"/>
              <w:rPr>
                <w:sz w:val="21"/>
                <w:szCs w:val="21"/>
                <w:color w:val="auto"/>
              </w:rPr>
            </w:pPr>
          </w:p>
        </w:tc>
        <w:tc>
          <w:tcPr>
            <w:tcW w:w="80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920" w:type="dxa"/>
            <w:vAlign w:val="bottom"/>
            <w:tcBorders>
              <w:bottom w:val="single" w:sz="8" w:color="auto"/>
              <w:right w:val="single" w:sz="8" w:color="ECECEC"/>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88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Change</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432"/>
        </w:trPr>
        <w:tc>
          <w:tcPr>
            <w:tcW w:w="436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33,247</w:t>
            </w:r>
          </w:p>
        </w:tc>
        <w:tc>
          <w:tcPr>
            <w:tcW w:w="240" w:type="dxa"/>
            <w:vAlign w:val="bottom"/>
            <w:shd w:val="clear" w:color="auto" w:fill="ECECEC"/>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44,774</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920" w:type="dxa"/>
            <w:vAlign w:val="bottom"/>
            <w:tcBorders>
              <w:right w:val="single" w:sz="8" w:color="ECECEC"/>
            </w:tcBorders>
          </w:tcPr>
          <w:p>
            <w:pPr>
              <w:jc w:val="right"/>
              <w:ind w:right="90"/>
              <w:spacing w:after="0"/>
              <w:rPr>
                <w:sz w:val="20"/>
                <w:szCs w:val="20"/>
                <w:color w:val="auto"/>
              </w:rPr>
            </w:pPr>
            <w:r>
              <w:rPr>
                <w:rFonts w:ascii="Times New Roman" w:cs="Times New Roman" w:eastAsia="Times New Roman" w:hAnsi="Times New Roman"/>
                <w:sz w:val="18"/>
                <w:szCs w:val="18"/>
                <w:color w:val="auto"/>
              </w:rPr>
              <w:t>(26)%</w:t>
            </w:r>
          </w:p>
        </w:tc>
        <w:tc>
          <w:tcPr>
            <w:tcW w:w="880" w:type="dxa"/>
            <w:vAlign w:val="bottom"/>
            <w:gridSpan w:val="2"/>
            <w:shd w:val="clear" w:color="auto" w:fill="ECECE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115,391</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109,893</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5,498</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5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37,186</w:t>
            </w:r>
          </w:p>
        </w:tc>
        <w:tc>
          <w:tcPr>
            <w:tcW w:w="240" w:type="dxa"/>
            <w:vAlign w:val="bottom"/>
            <w:tcBorders>
              <w:bottom w:val="single" w:sz="8" w:color="auto"/>
            </w:tcBorders>
            <w:shd w:val="clear" w:color="auto" w:fill="ECECEC"/>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21,880</w:t>
            </w:r>
          </w:p>
        </w:tc>
        <w:tc>
          <w:tcPr>
            <w:tcW w:w="920" w:type="dxa"/>
            <w:vAlign w:val="bottom"/>
            <w:tcBorders>
              <w:bottom w:val="single" w:sz="8" w:color="auto"/>
              <w:right w:val="single" w:sz="8" w:color="ECECEC"/>
            </w:tcBorders>
          </w:tcPr>
          <w:p>
            <w:pPr>
              <w:jc w:val="right"/>
              <w:ind w:right="150"/>
              <w:spacing w:after="0"/>
              <w:rPr>
                <w:sz w:val="20"/>
                <w:szCs w:val="20"/>
                <w:color w:val="auto"/>
              </w:rPr>
            </w:pPr>
            <w:r>
              <w:rPr>
                <w:rFonts w:ascii="Times New Roman" w:cs="Times New Roman" w:eastAsia="Times New Roman" w:hAnsi="Times New Roman"/>
                <w:sz w:val="18"/>
                <w:szCs w:val="18"/>
                <w:color w:val="auto"/>
              </w:rPr>
              <w:t>143%</w:t>
            </w:r>
          </w:p>
        </w:tc>
        <w:tc>
          <w:tcPr>
            <w:tcW w:w="6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92,789</w:t>
            </w:r>
          </w:p>
        </w:tc>
        <w:tc>
          <w:tcPr>
            <w:tcW w:w="240" w:type="dxa"/>
            <w:vAlign w:val="bottom"/>
            <w:tcBorders>
              <w:bottom w:val="single" w:sz="8" w:color="auto"/>
            </w:tcBorders>
            <w:shd w:val="clear" w:color="auto" w:fill="ECECEC"/>
          </w:tcPr>
          <w:p>
            <w:pPr>
              <w:spacing w:after="0"/>
              <w:rPr>
                <w:sz w:val="21"/>
                <w:szCs w:val="21"/>
                <w:color w:val="auto"/>
              </w:rPr>
            </w:pP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37,758</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55,031</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191"/>
        </w:trPr>
        <w:tc>
          <w:tcPr>
            <w:tcW w:w="4360" w:type="dxa"/>
            <w:vAlign w:val="bottom"/>
            <w:tcBorders>
              <w:right w:val="single" w:sz="8" w:color="ECECE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Gross (loss) profit</w:t>
            </w:r>
          </w:p>
        </w:tc>
        <w:tc>
          <w:tcPr>
            <w:tcW w:w="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(3,939)</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60" w:type="dxa"/>
            <w:vAlign w:val="bottom"/>
          </w:tcPr>
          <w:p>
            <w:pPr>
              <w:spacing w:after="0"/>
              <w:rPr>
                <w:sz w:val="16"/>
                <w:szCs w:val="16"/>
                <w:color w:val="auto"/>
              </w:rPr>
            </w:pP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29,468</w:t>
            </w:r>
          </w:p>
        </w:tc>
        <w:tc>
          <w:tcPr>
            <w:tcW w:w="2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(33,407)</w:t>
            </w:r>
          </w:p>
        </w:tc>
        <w:tc>
          <w:tcPr>
            <w:tcW w:w="920" w:type="dxa"/>
            <w:vAlign w:val="bottom"/>
            <w:tcBorders>
              <w:right w:val="single" w:sz="8" w:color="ECECEC"/>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(113)%</w:t>
            </w:r>
          </w:p>
        </w:tc>
        <w:tc>
          <w:tcPr>
            <w:tcW w:w="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22,602</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ind w:right="92"/>
              <w:spacing w:after="0" w:line="191" w:lineRule="exact"/>
              <w:rPr>
                <w:sz w:val="20"/>
                <w:szCs w:val="20"/>
                <w:color w:val="auto"/>
              </w:rPr>
            </w:pPr>
            <w:r>
              <w:rPr>
                <w:rFonts w:ascii="Times New Roman" w:cs="Times New Roman" w:eastAsia="Times New Roman" w:hAnsi="Times New Roman"/>
                <w:sz w:val="18"/>
                <w:szCs w:val="18"/>
                <w:color w:val="auto"/>
              </w:rPr>
              <w:t>72,135</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(49,533)</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61"/>
        </w:trPr>
        <w:tc>
          <w:tcPr>
            <w:tcW w:w="436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ECECEC"/>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4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7"/>
        </w:trPr>
        <w:tc>
          <w:tcPr>
            <w:tcW w:w="436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10,299</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Borders>
              <w:right w:val="single" w:sz="8" w:color="ECECEC"/>
            </w:tcBorders>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39,534</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36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920" w:type="dxa"/>
            <w:vAlign w:val="bottom"/>
            <w:tcBorders>
              <w:right w:val="single" w:sz="8" w:color="ECECEC"/>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24,310</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15,224</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0"/>
        </w:trPr>
        <w:tc>
          <w:tcPr>
            <w:tcW w:w="436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44,329</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44,152</w:t>
            </w:r>
          </w:p>
        </w:tc>
        <w:tc>
          <w:tcPr>
            <w:tcW w:w="920" w:type="dxa"/>
            <w:vAlign w:val="bottom"/>
            <w:tcBorders>
              <w:right w:val="single" w:sz="8" w:color="ECECEC"/>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nm</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122,243</w:t>
            </w:r>
          </w:p>
        </w:tc>
        <w:tc>
          <w:tcPr>
            <w:tcW w:w="2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152</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122,091</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436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Change in unrealized (gain) loss on revaluation of</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(45,655)</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Borders>
              <w:right w:val="single" w:sz="8" w:color="ECECEC"/>
            </w:tcBorders>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21,118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436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digital assets</w:t>
            </w:r>
          </w:p>
        </w:tc>
        <w:tc>
          <w:tcPr>
            <w:tcW w:w="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(13,893)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(31,762)</w:t>
            </w:r>
          </w:p>
        </w:tc>
        <w:tc>
          <w:tcPr>
            <w:tcW w:w="920" w:type="dxa"/>
            <w:vAlign w:val="bottom"/>
            <w:tcBorders>
              <w:right w:val="single" w:sz="8" w:color="ECECEC"/>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229%</w:t>
            </w: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992</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20,126</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Loss (gain) on disposition of property, plant and</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756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Borders>
              <w:right w:val="single" w:sz="8" w:color="ECECEC"/>
            </w:tcBorders>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1,692</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436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686</w:t>
            </w:r>
          </w:p>
        </w:tc>
        <w:tc>
          <w:tcPr>
            <w:tcW w:w="920" w:type="dxa"/>
            <w:vAlign w:val="bottom"/>
            <w:tcBorders>
              <w:right w:val="single" w:sz="8" w:color="ECECEC"/>
            </w:tcBorders>
          </w:tcPr>
          <w:p>
            <w:pPr>
              <w:jc w:val="right"/>
              <w:ind w:right="150"/>
              <w:spacing w:after="0"/>
              <w:rPr>
                <w:sz w:val="20"/>
                <w:szCs w:val="20"/>
                <w:color w:val="auto"/>
              </w:rPr>
            </w:pPr>
            <w:r>
              <w:rPr>
                <w:rFonts w:ascii="Times New Roman" w:cs="Times New Roman" w:eastAsia="Times New Roman" w:hAnsi="Times New Roman"/>
                <w:sz w:val="18"/>
                <w:szCs w:val="18"/>
                <w:color w:val="auto"/>
              </w:rPr>
              <w:t>980%</w:t>
            </w: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(95)</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1,787</w:t>
            </w: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Impairment on equipment and construction</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Borders>
              <w:right w:val="single" w:sz="8" w:color="ECECEC"/>
            </w:tcBorders>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prepayments, property, plant and equipment and right-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84,116</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Borders>
              <w:right w:val="single" w:sz="8" w:color="ECECEC"/>
            </w:tcBorders>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84,116</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36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of-use assets</w:t>
            </w:r>
          </w:p>
        </w:tc>
        <w:tc>
          <w:tcPr>
            <w:tcW w:w="5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84,116</w:t>
            </w:r>
          </w:p>
        </w:tc>
        <w:tc>
          <w:tcPr>
            <w:tcW w:w="920" w:type="dxa"/>
            <w:vAlign w:val="bottom"/>
            <w:tcBorders>
              <w:right w:val="single" w:sz="8" w:color="ECECEC"/>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84,116</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0"/>
        </w:trPr>
        <w:tc>
          <w:tcPr>
            <w:tcW w:w="436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Impairment on goodwill</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ECECEC"/>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17,900</w:t>
            </w:r>
          </w:p>
        </w:tc>
        <w:tc>
          <w:tcPr>
            <w:tcW w:w="240" w:type="dxa"/>
            <w:vAlign w:val="bottom"/>
          </w:tcPr>
          <w:p>
            <w:pPr>
              <w:spacing w:after="0"/>
              <w:rPr>
                <w:sz w:val="19"/>
                <w:szCs w:val="19"/>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17,900</w:t>
            </w: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61"/>
        </w:trPr>
        <w:tc>
          <w:tcPr>
            <w:tcW w:w="4360" w:type="dxa"/>
            <w:vAlign w:val="bottom"/>
            <w:tcBorders>
              <w:bottom w:val="single" w:sz="8" w:color="auto"/>
              <w:right w:val="single" w:sz="8" w:color="ECECEC"/>
            </w:tcBorders>
          </w:tcPr>
          <w:p>
            <w:pPr>
              <w:ind w:left="180"/>
              <w:spacing w:after="0"/>
              <w:rPr>
                <w:sz w:val="20"/>
                <w:szCs w:val="20"/>
                <w:color w:val="auto"/>
              </w:rPr>
            </w:pPr>
            <w:r>
              <w:rPr>
                <w:rFonts w:ascii="Times New Roman" w:cs="Times New Roman" w:eastAsia="Times New Roman" w:hAnsi="Times New Roman"/>
                <w:sz w:val="18"/>
                <w:szCs w:val="18"/>
                <w:color w:val="auto"/>
              </w:rPr>
              <w:t>Impairment reversal on property, plant and equipment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(1,860)</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1,860</w:t>
            </w:r>
          </w:p>
        </w:tc>
        <w:tc>
          <w:tcPr>
            <w:tcW w:w="920" w:type="dxa"/>
            <w:vAlign w:val="bottom"/>
            <w:tcBorders>
              <w:bottom w:val="single" w:sz="8" w:color="auto"/>
              <w:right w:val="single" w:sz="8" w:color="ECECEC"/>
            </w:tcBorders>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(1,860)</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1,860</w:t>
            </w:r>
          </w:p>
        </w:tc>
        <w:tc>
          <w:tcPr>
            <w:tcW w:w="8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1"/>
        </w:trPr>
        <w:tc>
          <w:tcPr>
            <w:tcW w:w="4360" w:type="dxa"/>
            <w:vAlign w:val="bottom"/>
            <w:tcBorders>
              <w:right w:val="single" w:sz="8" w:color="ECECE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Operating (loss) income</w:t>
            </w:r>
          </w:p>
        </w:tc>
        <w:tc>
          <w:tcPr>
            <w:tcW w:w="5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w w:val="87"/>
              </w:rPr>
              <w:t>(97,784)</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60" w:type="dxa"/>
            <w:vAlign w:val="bottom"/>
          </w:tcPr>
          <w:p>
            <w:pPr>
              <w:spacing w:after="0"/>
              <w:rPr>
                <w:sz w:val="16"/>
                <w:szCs w:val="16"/>
                <w:color w:val="auto"/>
              </w:rPr>
            </w:pPr>
          </w:p>
        </w:tc>
        <w:tc>
          <w:tcPr>
            <w:tcW w:w="6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34,090</w:t>
            </w:r>
          </w:p>
        </w:tc>
        <w:tc>
          <w:tcPr>
            <w:tcW w:w="2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(131,874)</w:t>
            </w:r>
          </w:p>
        </w:tc>
        <w:tc>
          <w:tcPr>
            <w:tcW w:w="920" w:type="dxa"/>
            <w:vAlign w:val="bottom"/>
            <w:tcBorders>
              <w:right w:val="single" w:sz="8" w:color="ECECEC"/>
            </w:tcBorders>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rPr>
              <w:t>(387)%</w:t>
            </w:r>
          </w:p>
        </w:tc>
        <w:tc>
          <w:tcPr>
            <w:tcW w:w="6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w w:val="87"/>
              </w:rPr>
              <w:t>(264,001)</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1"/>
              </w:rPr>
              <w:t>)%</w:t>
            </w:r>
          </w:p>
        </w:tc>
        <w:tc>
          <w:tcPr>
            <w:tcW w:w="900" w:type="dxa"/>
            <w:vAlign w:val="bottom"/>
          </w:tcPr>
          <w:p>
            <w:pPr>
              <w:jc w:val="right"/>
              <w:ind w:right="92"/>
              <w:spacing w:after="0" w:line="191" w:lineRule="exact"/>
              <w:rPr>
                <w:sz w:val="20"/>
                <w:szCs w:val="20"/>
                <w:color w:val="auto"/>
              </w:rPr>
            </w:pPr>
            <w:r>
              <w:rPr>
                <w:rFonts w:ascii="Times New Roman" w:cs="Times New Roman" w:eastAsia="Times New Roman" w:hAnsi="Times New Roman"/>
                <w:sz w:val="18"/>
                <w:szCs w:val="18"/>
                <w:color w:val="auto"/>
              </w:rPr>
              <w:t>48,636</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(312,637)</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61"/>
        </w:trPr>
        <w:tc>
          <w:tcPr>
            <w:tcW w:w="436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c>
          <w:tcPr>
            <w:tcW w:w="24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ECECEC"/>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240" w:type="dxa"/>
            <w:vAlign w:val="bottom"/>
            <w:tcBorders>
              <w:bottom w:val="single" w:sz="8" w:color="auto"/>
            </w:tcBorders>
            <w:vMerge w:val="continue"/>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Net financial (income) expenses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(8,251</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(616)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920" w:type="dxa"/>
            <w:vAlign w:val="bottom"/>
            <w:tcBorders>
              <w:bottom w:val="single" w:sz="8" w:color="auto"/>
              <w:right w:val="single" w:sz="8" w:color="ECECEC"/>
            </w:tcBorders>
          </w:tcPr>
          <w:p>
            <w:pPr>
              <w:jc w:val="right"/>
              <w:ind w:right="310"/>
              <w:spacing w:after="0"/>
              <w:rPr>
                <w:sz w:val="20"/>
                <w:szCs w:val="20"/>
                <w:color w:val="auto"/>
              </w:rPr>
            </w:pPr>
            <w:r>
              <w:rPr>
                <w:rFonts w:ascii="Times New Roman" w:cs="Times New Roman" w:eastAsia="Times New Roman" w:hAnsi="Times New Roman"/>
                <w:sz w:val="18"/>
                <w:szCs w:val="18"/>
                <w:i w:val="1"/>
                <w:iCs w:val="1"/>
                <w:color w:val="auto"/>
              </w:rPr>
              <w:t>nm</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(24,191</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23,936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(48,127)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(89,533</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34,706</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(124,239)</w:t>
            </w:r>
          </w:p>
        </w:tc>
        <w:tc>
          <w:tcPr>
            <w:tcW w:w="920" w:type="dxa"/>
            <w:vAlign w:val="bottom"/>
            <w:tcBorders>
              <w:bottom w:val="single" w:sz="8" w:color="auto"/>
              <w:right w:val="single" w:sz="8" w:color="ECECEC"/>
            </w:tcBorders>
          </w:tcPr>
          <w:p>
            <w:pPr>
              <w:jc w:val="right"/>
              <w:ind w:right="90"/>
              <w:spacing w:after="0"/>
              <w:rPr>
                <w:sz w:val="20"/>
                <w:szCs w:val="20"/>
                <w:color w:val="auto"/>
              </w:rPr>
            </w:pPr>
            <w:r>
              <w:rPr>
                <w:rFonts w:ascii="Times New Roman" w:cs="Times New Roman" w:eastAsia="Times New Roman" w:hAnsi="Times New Roman"/>
                <w:sz w:val="18"/>
                <w:szCs w:val="18"/>
                <w:color w:val="auto"/>
              </w:rPr>
              <w:t>(358)%</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(239,810</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24,700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(264,510)</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36"/>
        </w:trPr>
        <w:tc>
          <w:tcPr>
            <w:tcW w:w="436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(4,725</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(15,698)</w:t>
            </w:r>
          </w:p>
        </w:tc>
        <w:tc>
          <w:tcPr>
            <w:tcW w:w="920" w:type="dxa"/>
            <w:vAlign w:val="bottom"/>
            <w:tcBorders>
              <w:bottom w:val="single" w:sz="8" w:color="auto"/>
              <w:right w:val="single" w:sz="8" w:color="ECECEC"/>
            </w:tcBorders>
          </w:tcPr>
          <w:p>
            <w:pPr>
              <w:jc w:val="right"/>
              <w:ind w:right="90"/>
              <w:spacing w:after="0"/>
              <w:rPr>
                <w:sz w:val="20"/>
                <w:szCs w:val="20"/>
                <w:color w:val="auto"/>
              </w:rPr>
            </w:pPr>
            <w:r>
              <w:rPr>
                <w:rFonts w:ascii="Times New Roman" w:cs="Times New Roman" w:eastAsia="Times New Roman" w:hAnsi="Times New Roman"/>
                <w:sz w:val="18"/>
                <w:szCs w:val="18"/>
                <w:color w:val="auto"/>
              </w:rPr>
              <w:t>(143)%</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(17,603</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12,247</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(29,850)</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187"/>
        </w:trPr>
        <w:tc>
          <w:tcPr>
            <w:tcW w:w="4360" w:type="dxa"/>
            <w:vAlign w:val="bottom"/>
            <w:tcBorders>
              <w:right w:val="single" w:sz="8" w:color="ECECEC"/>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(loss) income and total comprehensive (loss)</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Borders>
              <w:right w:val="single" w:sz="8" w:color="ECECEC"/>
            </w:tcBorders>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436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(84,808</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23,733</w:t>
            </w: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(108,541)</w:t>
            </w:r>
          </w:p>
        </w:tc>
        <w:tc>
          <w:tcPr>
            <w:tcW w:w="920" w:type="dxa"/>
            <w:vAlign w:val="bottom"/>
            <w:tcBorders>
              <w:bottom w:val="single" w:sz="8" w:color="auto"/>
              <w:right w:val="single" w:sz="8" w:color="ECECEC"/>
            </w:tcBorders>
          </w:tcPr>
          <w:p>
            <w:pPr>
              <w:jc w:val="right"/>
              <w:ind w:right="90"/>
              <w:spacing w:after="0"/>
              <w:rPr>
                <w:sz w:val="20"/>
                <w:szCs w:val="20"/>
                <w:color w:val="auto"/>
              </w:rPr>
            </w:pPr>
            <w:r>
              <w:rPr>
                <w:rFonts w:ascii="Times New Roman" w:cs="Times New Roman" w:eastAsia="Times New Roman" w:hAnsi="Times New Roman"/>
                <w:sz w:val="18"/>
                <w:szCs w:val="18"/>
                <w:color w:val="auto"/>
              </w:rPr>
              <w:t>(457)%</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(222,207</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12,453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(234,660)</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459"/>
        </w:trPr>
        <w:tc>
          <w:tcPr>
            <w:tcW w:w="436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Basic (loss) earnings per share (in U.S. dollars)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ECECEC"/>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0.08</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436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Diluted (loss) earnings per share (in U.S. dollars)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right w:val="single" w:sz="8" w:color="ECECEC"/>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0.08</w:t>
            </w: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2"/>
        </w:trPr>
        <w:tc>
          <w:tcPr>
            <w:tcW w:w="4360" w:type="dxa"/>
            <w:vAlign w:val="bottom"/>
            <w:tcBorders>
              <w:right w:val="single" w:sz="8" w:color="ECECEC"/>
            </w:tcBorders>
          </w:tcPr>
          <w:p>
            <w:pPr>
              <w:spacing w:after="0" w:line="242" w:lineRule="exact"/>
              <w:rPr>
                <w:sz w:val="20"/>
                <w:szCs w:val="20"/>
                <w:color w:val="auto"/>
              </w:rPr>
            </w:pPr>
            <w:r>
              <w:rPr>
                <w:rFonts w:ascii="Times New Roman" w:cs="Times New Roman" w:eastAsia="Times New Roman" w:hAnsi="Times New Roman"/>
                <w:sz w:val="17"/>
                <w:szCs w:val="17"/>
                <w:color w:val="auto"/>
              </w:rPr>
              <w:t xml:space="preserve">Gross mining profit </w:t>
            </w:r>
            <w:r>
              <w:rPr>
                <w:rFonts w:ascii="Times New Roman" w:cs="Times New Roman" w:eastAsia="Times New Roman" w:hAnsi="Times New Roman"/>
                <w:sz w:val="28"/>
                <w:szCs w:val="28"/>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16,789</w:t>
            </w: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35,448</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(18,659)</w:t>
            </w:r>
          </w:p>
        </w:tc>
        <w:tc>
          <w:tcPr>
            <w:tcW w:w="920" w:type="dxa"/>
            <w:vAlign w:val="bottom"/>
            <w:tcBorders>
              <w:right w:val="single" w:sz="8" w:color="ECECEC"/>
            </w:tcBorders>
          </w:tcPr>
          <w:p>
            <w:pPr>
              <w:jc w:val="right"/>
              <w:ind w:right="90"/>
              <w:spacing w:after="0"/>
              <w:rPr>
                <w:sz w:val="20"/>
                <w:szCs w:val="20"/>
                <w:color w:val="auto"/>
              </w:rPr>
            </w:pPr>
            <w:r>
              <w:rPr>
                <w:rFonts w:ascii="Times New Roman" w:cs="Times New Roman" w:eastAsia="Times New Roman" w:hAnsi="Times New Roman"/>
                <w:sz w:val="18"/>
                <w:szCs w:val="18"/>
                <w:color w:val="auto"/>
              </w:rPr>
              <w:t>(53)%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74,089</w:t>
            </w:r>
          </w:p>
        </w:tc>
        <w:tc>
          <w:tcPr>
            <w:tcW w:w="240" w:type="dxa"/>
            <w:vAlign w:val="bottom"/>
          </w:tcPr>
          <w:p>
            <w:pPr>
              <w:spacing w:after="0"/>
              <w:rPr>
                <w:sz w:val="21"/>
                <w:szCs w:val="21"/>
                <w:color w:val="auto"/>
              </w:rPr>
            </w:pP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85,782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7"/>
        </w:trPr>
        <w:tc>
          <w:tcPr>
            <w:tcW w:w="4360" w:type="dxa"/>
            <w:vAlign w:val="bottom"/>
            <w:tcBorders>
              <w:right w:val="single" w:sz="8" w:color="ECECEC"/>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Gross mining margin </w:t>
            </w:r>
            <w:r>
              <w:rPr>
                <w:rFonts w:ascii="Times New Roman" w:cs="Times New Roman" w:eastAsia="Times New Roman" w:hAnsi="Times New Roman"/>
                <w:sz w:val="29"/>
                <w:szCs w:val="29"/>
                <w:color w:val="auto"/>
                <w:vertAlign w:val="superscript"/>
              </w:rPr>
              <w:t>(1)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ECECEC"/>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360" w:type="dxa"/>
            <w:vAlign w:val="bottom"/>
            <w:tcBorders>
              <w:right w:val="single" w:sz="8" w:color="ECECEC"/>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w:t>
            </w:r>
            <w:r>
              <w:rPr>
                <w:rFonts w:ascii="Times New Roman" w:cs="Times New Roman" w:eastAsia="Times New Roman" w:hAnsi="Times New Roman"/>
                <w:sz w:val="29"/>
                <w:szCs w:val="29"/>
                <w:color w:val="auto"/>
                <w:vertAlign w:val="superscript"/>
              </w:rPr>
              <w:t>(1)</w:t>
            </w: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(65,419)</w:t>
            </w:r>
          </w:p>
        </w:tc>
        <w:tc>
          <w:tcPr>
            <w:tcW w:w="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41,755</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(107,174)</w:t>
            </w:r>
          </w:p>
        </w:tc>
        <w:tc>
          <w:tcPr>
            <w:tcW w:w="920" w:type="dxa"/>
            <w:vAlign w:val="bottom"/>
            <w:tcBorders>
              <w:right w:val="single" w:sz="8" w:color="ECECEC"/>
            </w:tcBorders>
          </w:tcPr>
          <w:p>
            <w:pPr>
              <w:jc w:val="right"/>
              <w:ind w:right="90"/>
              <w:spacing w:after="0"/>
              <w:rPr>
                <w:sz w:val="20"/>
                <w:szCs w:val="20"/>
                <w:color w:val="auto"/>
              </w:rPr>
            </w:pPr>
            <w:r>
              <w:rPr>
                <w:rFonts w:ascii="Times New Roman" w:cs="Times New Roman" w:eastAsia="Times New Roman" w:hAnsi="Times New Roman"/>
                <w:sz w:val="18"/>
                <w:szCs w:val="18"/>
                <w:color w:val="auto"/>
              </w:rPr>
              <w:t>(257)%</w:t>
            </w:r>
          </w:p>
        </w:tc>
        <w:tc>
          <w:tcPr>
            <w:tcW w:w="8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6"/>
              </w:rPr>
              <w:t>(177,217)</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41,472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(218,689)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257"/>
        </w:trPr>
        <w:tc>
          <w:tcPr>
            <w:tcW w:w="4360" w:type="dxa"/>
            <w:vAlign w:val="bottom"/>
            <w:tcBorders>
              <w:right w:val="single" w:sz="8" w:color="ECECEC"/>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EBITDA margin </w:t>
            </w:r>
            <w:r>
              <w:rPr>
                <w:rFonts w:ascii="Times New Roman" w:cs="Times New Roman" w:eastAsia="Times New Roman" w:hAnsi="Times New Roman"/>
                <w:sz w:val="29"/>
                <w:szCs w:val="29"/>
                <w:color w:val="auto"/>
                <w:vertAlign w:val="superscript"/>
              </w:rPr>
              <w:t>(1)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6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ECECEC"/>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360" w:type="dxa"/>
            <w:vAlign w:val="bottom"/>
            <w:tcBorders>
              <w:right w:val="single" w:sz="8" w:color="ECECEC"/>
            </w:tcBorders>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9"/>
                <w:szCs w:val="29"/>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10,317</w:t>
            </w: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29,762</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w:t>
            </w:r>
          </w:p>
        </w:tc>
        <w:tc>
          <w:tcPr>
            <w:tcW w:w="920" w:type="dxa"/>
            <w:vAlign w:val="bottom"/>
            <w:tcBorders>
              <w:right w:val="single" w:sz="8" w:color="ECECEC"/>
            </w:tcBorders>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8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50,442</w:t>
            </w:r>
          </w:p>
        </w:tc>
        <w:tc>
          <w:tcPr>
            <w:tcW w:w="9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73,265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7"/>
        </w:trPr>
        <w:tc>
          <w:tcPr>
            <w:tcW w:w="4360" w:type="dxa"/>
            <w:vAlign w:val="bottom"/>
            <w:tcBorders>
              <w:right w:val="single" w:sz="8" w:color="ECECEC"/>
            </w:tcBorders>
          </w:tcPr>
          <w:p>
            <w:pPr>
              <w:spacing w:after="0" w:line="217" w:lineRule="exact"/>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5"/>
                <w:szCs w:val="25"/>
                <w:color w:val="auto"/>
                <w:vertAlign w:val="superscript"/>
              </w:rPr>
              <w:t>(1)</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ECECEC"/>
            </w:tcBorders>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4360" w:type="dxa"/>
            <w:vAlign w:val="bottom"/>
            <w:tcBorders>
              <w:bottom w:val="single" w:sz="8" w:color="auto"/>
              <w:right w:val="single" w:sz="8" w:color="ECECEC"/>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920" w:type="dxa"/>
            <w:vAlign w:val="bottom"/>
            <w:tcBorders>
              <w:bottom w:val="single" w:sz="8" w:color="auto"/>
              <w:right w:val="single" w:sz="8" w:color="ECECEC"/>
            </w:tcBorders>
            <w:vMerge w:val="continue"/>
          </w:tcPr>
          <w:p>
            <w:pPr>
              <w:spacing w:after="0"/>
              <w:rPr>
                <w:sz w:val="7"/>
                <w:szCs w:val="7"/>
                <w:color w:val="auto"/>
              </w:rPr>
            </w:pPr>
          </w:p>
        </w:tc>
        <w:tc>
          <w:tcPr>
            <w:tcW w:w="880" w:type="dxa"/>
            <w:vAlign w:val="bottom"/>
            <w:tcBorders>
              <w:bottom w:val="single" w:sz="8" w:color="auto"/>
            </w:tcBorders>
            <w:gridSpan w:val="2"/>
          </w:tcPr>
          <w:p>
            <w:pPr>
              <w:jc w:val="right"/>
              <w:ind w:right="150"/>
              <w:spacing w:after="0" w:line="81" w:lineRule="exact"/>
              <w:rPr>
                <w:sz w:val="20"/>
                <w:szCs w:val="20"/>
                <w:color w:val="auto"/>
              </w:rPr>
            </w:pPr>
            <w:r>
              <w:rPr>
                <w:rFonts w:ascii="Times New Roman" w:cs="Times New Roman" w:eastAsia="Times New Roman" w:hAnsi="Times New Roman"/>
                <w:sz w:val="9"/>
                <w:szCs w:val="9"/>
                <w:b w:val="1"/>
                <w:bCs w:val="1"/>
                <w:color w:val="auto"/>
              </w:rPr>
              <w:t>44</w:t>
            </w:r>
          </w:p>
        </w:tc>
        <w:tc>
          <w:tcPr>
            <w:tcW w:w="900" w:type="dxa"/>
            <w:vAlign w:val="bottom"/>
            <w:tcBorders>
              <w:bottom w:val="single" w:sz="8" w:color="auto"/>
            </w:tcBorders>
          </w:tcPr>
          <w:p>
            <w:pPr>
              <w:jc w:val="right"/>
              <w:ind w:right="92"/>
              <w:spacing w:after="0" w:line="81" w:lineRule="exact"/>
              <w:rPr>
                <w:sz w:val="20"/>
                <w:szCs w:val="20"/>
                <w:color w:val="auto"/>
              </w:rPr>
            </w:pPr>
            <w:r>
              <w:rPr>
                <w:rFonts w:ascii="Times New Roman" w:cs="Times New Roman" w:eastAsia="Times New Roman" w:hAnsi="Times New Roman"/>
                <w:sz w:val="9"/>
                <w:szCs w:val="9"/>
                <w:color w:val="auto"/>
              </w:rPr>
              <w:t>67</w:t>
            </w:r>
          </w:p>
        </w:tc>
        <w:tc>
          <w:tcPr>
            <w:tcW w:w="8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-4851400</wp:posOffset>
            </wp:positionV>
            <wp:extent cx="514350" cy="4843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14350" cy="48431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-4851400</wp:posOffset>
            </wp:positionV>
            <wp:extent cx="565785" cy="4843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 cy="484314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nm: </w:t>
      </w:r>
      <w:r>
        <w:rPr>
          <w:rFonts w:ascii="Times New Roman" w:cs="Times New Roman" w:eastAsia="Times New Roman" w:hAnsi="Times New Roman"/>
          <w:sz w:val="14"/>
          <w:szCs w:val="14"/>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830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26" w:lineRule="exact"/>
        <w:rPr>
          <w:sz w:val="20"/>
          <w:szCs w:val="20"/>
          <w:color w:val="auto"/>
        </w:rPr>
      </w:pPr>
    </w:p>
    <w:p>
      <w:pPr>
        <w:ind w:left="340" w:hanging="332"/>
        <w:spacing w:after="0" w:line="261" w:lineRule="auto"/>
        <w:tabs>
          <w:tab w:leader="none" w:pos="3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Gross mining profit, Gross mining margin, EBITDA, EBITDA margin, Adjusted EBITDA and Adjusted EBITDA margin, are non-IFRS performance measures; refer to the Non-IFRS Financial Performance Measures section of this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Quarter 2022 Financial Results and Operational Highlights:</w:t>
      </w:r>
    </w:p>
    <w:p>
      <w:pPr>
        <w:spacing w:after="0" w:line="227" w:lineRule="exact"/>
        <w:rPr>
          <w:sz w:val="20"/>
          <w:szCs w:val="20"/>
          <w:color w:val="auto"/>
        </w:rPr>
      </w:pPr>
    </w:p>
    <w:p>
      <w:pPr>
        <w:jc w:val="both"/>
        <w:ind w:left="340" w:hanging="332"/>
        <w:spacing w:after="0" w:line="257"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$33.2 million, gross loss of $3.9 million (gross margin of negative 12%) including non-cash depreciation and amortization expense of $20.7 million, operating loss of $97.8 million (operating margin of negative 294%) including impairment expense of $84.1 million, and net loss of $84.8 million;</w:t>
      </w:r>
    </w:p>
    <w:p>
      <w:pPr>
        <w:spacing w:after="0" w:line="1" w:lineRule="exact"/>
        <w:rPr>
          <w:rFonts w:ascii="Times New Roman" w:cs="Times New Roman" w:eastAsia="Times New Roman" w:hAnsi="Times New Roman"/>
          <w:sz w:val="18"/>
          <w:szCs w:val="18"/>
          <w:color w:val="auto"/>
        </w:rPr>
      </w:pPr>
    </w:p>
    <w:p>
      <w:pPr>
        <w:ind w:left="340" w:hanging="332"/>
        <w:spacing w:after="0" w:line="183" w:lineRule="auto"/>
        <w:tabs>
          <w:tab w:leader="none" w:pos="340" w:val="left"/>
        </w:tabs>
        <w:numPr>
          <w:ilvl w:val="0"/>
          <w:numId w:val="2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Gross mining profit</w:t>
      </w:r>
      <w:r>
        <w:rPr>
          <w:rFonts w:ascii="Times New Roman" w:cs="Times New Roman" w:eastAsia="Times New Roman" w:hAnsi="Times New Roman"/>
          <w:sz w:val="27"/>
          <w:szCs w:val="27"/>
          <w:color w:val="auto"/>
          <w:vertAlign w:val="superscript"/>
        </w:rPr>
        <w:t>1</w:t>
      </w:r>
      <w:r>
        <w:rPr>
          <w:rFonts w:ascii="Times New Roman" w:cs="Times New Roman" w:eastAsia="Times New Roman" w:hAnsi="Times New Roman"/>
          <w:sz w:val="17"/>
          <w:szCs w:val="17"/>
          <w:color w:val="auto"/>
        </w:rPr>
        <w:t xml:space="preserve"> of $16.8 million (52% gross mining margin);</w:t>
      </w:r>
    </w:p>
    <w:p>
      <w:pPr>
        <w:ind w:left="340" w:hanging="332"/>
        <w:spacing w:after="0" w:line="191" w:lineRule="auto"/>
        <w:tabs>
          <w:tab w:leader="none" w:pos="34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xml:space="preserve"> of negative $65.4 million (EBITDA margin of negative 197%);</w:t>
      </w:r>
    </w:p>
    <w:p>
      <w:pPr>
        <w:ind w:left="340" w:hanging="332"/>
        <w:spacing w:after="0" w:line="191" w:lineRule="auto"/>
        <w:tabs>
          <w:tab w:leader="none" w:pos="34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5"/>
          <w:szCs w:val="15"/>
          <w:color w:val="auto"/>
        </w:rPr>
        <w:t xml:space="preserve"> of $10.3 million (31% Adjusted EBITDA margin);</w:t>
      </w:r>
    </w:p>
    <w:p>
      <w:pPr>
        <w:ind w:left="340" w:hanging="332"/>
        <w:spacing w:after="0" w:line="180" w:lineRule="auto"/>
        <w:tabs>
          <w:tab w:leader="none" w:pos="340"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Mined 1,515 BTC with an average cost of $9,400 per BTC</w:t>
      </w:r>
      <w:r>
        <w:rPr>
          <w:rFonts w:ascii="Times New Roman" w:cs="Times New Roman" w:eastAsia="Times New Roman" w:hAnsi="Times New Roman"/>
          <w:sz w:val="21"/>
          <w:szCs w:val="21"/>
          <w:color w:val="auto"/>
          <w:vertAlign w:val="superscript"/>
        </w:rPr>
        <w:t>2</w:t>
      </w:r>
      <w:r>
        <w:rPr>
          <w:rFonts w:ascii="Times New Roman" w:cs="Times New Roman" w:eastAsia="Times New Roman" w:hAnsi="Times New Roman"/>
          <w:sz w:val="14"/>
          <w:szCs w:val="14"/>
          <w:color w:val="auto"/>
        </w:rPr>
        <w:t xml:space="preserve"> and held 2,064 BTC valued at approximately $40.1 million as of September 30, 2022;</w:t>
      </w: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Hashrate from 3.6 EH/s to 4.2 EH/s through the acquisition and installation of approximately 7,000 MicroBT Whatsminers.</w:t>
      </w:r>
    </w:p>
    <w:p>
      <w:pPr>
        <w:spacing w:after="0" w:line="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2,595 BTC at an average price of $21,462 per BTC for total proceeds of $55.7 million, a portion of which was used to repay the credit facility by $15.0 million, bringing the total amount drawn on the facility to $23.1 million, with 1,620 of the Company’s 2,064 BTC pledged as collateral on the facility as of September 30, 2022;</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construction in July 2022 of the Leger facility and the first two phases of the Bunker facility, bringing the total capacity to 30 MW and 36 MW, respectively;</w:t>
      </w:r>
    </w:p>
    <w:p>
      <w:pPr>
        <w:ind w:left="34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Washington state’s additional 3 MW of low-cost hydropower went online in July 2022, bringing total production from Washington state farms to 20 MW;</w:t>
      </w: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of five 10 MW modules at the first warehouse under development in Argentina went online in September 2022;</w:t>
      </w:r>
    </w:p>
    <w:p>
      <w:pPr>
        <w:spacing w:after="0" w:line="9"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credit facility that was due to mature October 1, 2022, extending the maturity by three months for a maximum of $40.0 million, of which $23.1 million was outstanding as at September 30, 2022, at an interest rate of 11.25%;</w:t>
      </w:r>
    </w:p>
    <w:p>
      <w:pPr>
        <w:jc w:val="both"/>
        <w:ind w:left="340" w:hanging="332"/>
        <w:spacing w:after="0" w:line="25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2022, to better align the number of Miners on hand with the infrastructure capacity available to utilize the Miners, the Company entered into agreements with equipment vendors to postpone into 2023, without penalty, the remaining delivery of and payment for certain remaining equipment purchases; and</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$12.6 million of net proceeds through the Company’s at-the-market equity program, used primarily for payment commitments on orders of 49,200 miners with expected deliveries throughout 2022 and the first nine months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178308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40" w:hanging="332"/>
        <w:spacing w:after="0" w:line="233" w:lineRule="auto"/>
        <w:tabs>
          <w:tab w:leader="none" w:pos="3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Gross mining profit, Gross mining margin, EBITDA, EBITDA margin, Adjusted EBITDA and Adjusted EBITDA margin, are non-IFRS performance measures; refer to the Non-IFRS Financial Performance Measures section of this MD&amp;A.</w:t>
      </w:r>
    </w:p>
    <w:p>
      <w:pPr>
        <w:ind w:left="340" w:hanging="332"/>
        <w:spacing w:after="0" w:line="239" w:lineRule="auto"/>
        <w:tabs>
          <w:tab w:leader="none" w:pos="3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the direct cost of BTC based on the total electricity costs, net of the gain on disposition of marketable securities used to pay Argentina energy costs in Argentine Pesos, and, where applicable, hosting costs related to the Mining of BTC, excluding electricity consumed by hosting clients, divided by the total number of BTC 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0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were $33.2 million for the three months ended September 30, 2022 (“Q3 2022”) compared to $44.8 million for the three months ended September 30, 2021 (“Q3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most significant factors impacting the decrease in Bitfarms’ revenues in Q3 2022, compared to Q3 2021, are presented in the table below. Revenues decreased mostly due to the decrease in average BTC price, offset by the increase in Bitfarms’ Hashrate in excess of the increase in network difficulty.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BTC</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 including Volta, for the three months ended September 30, 2021</w:t>
            </w:r>
          </w:p>
        </w:tc>
        <w:tc>
          <w:tcPr>
            <w:tcW w:w="1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1,050</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44,774</w:t>
            </w: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1"/>
        </w:trPr>
        <w:tc>
          <w:tcPr>
            <w:tcW w:w="6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increase in average Bitfarms’ BTC Hashrate in excess of the increase in</w:t>
            </w: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network difficulty during Q3 2022 as compared to Q3 2021</w:t>
            </w: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88"/>
              </w:rPr>
              <w:t>1</w:t>
            </w:r>
          </w:p>
        </w:tc>
        <w:tc>
          <w:tcPr>
            <w:tcW w:w="13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465</w:t>
            </w: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19,231</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Q3 2022 as compared to Q3 2021</w:t>
            </w: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88"/>
              </w:rPr>
              <w:t>2</w:t>
            </w:r>
          </w:p>
        </w:tc>
        <w:tc>
          <w:tcPr>
            <w:tcW w:w="1300" w:type="dxa"/>
            <w:vAlign w:val="bottom"/>
          </w:tcPr>
          <w:p>
            <w:pPr>
              <w:spacing w:after="0"/>
              <w:rPr>
                <w:sz w:val="18"/>
                <w:szCs w:val="18"/>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(30,379)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61"/>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mining variance and change in Volta</w:t>
            </w:r>
          </w:p>
        </w:tc>
        <w:tc>
          <w:tcPr>
            <w:tcW w:w="1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(379)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 for the three months ended September 30, 2022</w:t>
            </w:r>
          </w:p>
        </w:tc>
        <w:tc>
          <w:tcPr>
            <w:tcW w:w="1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1,515</w:t>
            </w: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33,247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52" w:lineRule="exact"/>
        <w:rPr>
          <w:sz w:val="20"/>
          <w:szCs w:val="20"/>
          <w:color w:val="auto"/>
        </w:rPr>
      </w:pPr>
    </w:p>
    <w:p>
      <w:pPr>
        <w:ind w:left="160"/>
        <w:spacing w:after="0"/>
        <w:tabs>
          <w:tab w:leader="none" w:pos="4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Calculated as the difference in BTC mined in Q3 2022 compared to Q3 2021 multiplied by Q3 2021 average BTC price</w:t>
      </w:r>
    </w:p>
    <w:p>
      <w:pPr>
        <w:spacing w:after="0" w:line="27" w:lineRule="exact"/>
        <w:rPr>
          <w:sz w:val="20"/>
          <w:szCs w:val="20"/>
          <w:color w:val="auto"/>
        </w:rPr>
      </w:pPr>
    </w:p>
    <w:p>
      <w:pPr>
        <w:ind w:left="160"/>
        <w:spacing w:after="0"/>
        <w:tabs>
          <w:tab w:leader="none" w:pos="4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Calculated as the difference in average BTC price in Q3 2022 compared to Q3 2021 multiplied by BTC mined in Q3 2022</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Revenues were $115.4 million for the nine months ended September 30, 2022 (“YTD Q3 2022”) compared to $109.9 million for the nine months ended September 30, 2021 (“YTD Q3 2021”).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significant factors impacting the increase in Bitfarms’ revenues in YTD Q3 2022, compared to YTD Q3 2021, are presented in the table below. Revenues increased mostly due to the increase in Bitfarms’ Hashrate in excess of the increase in network difficulty, offset by the decrease in average BTC price.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BTC</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(USD)</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 including Volta, for the nine months ended September 30, 2021</w:t>
            </w:r>
          </w:p>
        </w:tc>
        <w:tc>
          <w:tcPr>
            <w:tcW w:w="1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2,407</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109,893</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1"/>
        </w:trPr>
        <w:tc>
          <w:tcPr>
            <w:tcW w:w="6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Impact of increase in average Bitfarms’ BTC Hashrate in excess of the increase in</w:t>
            </w:r>
          </w:p>
        </w:tc>
        <w:tc>
          <w:tcPr>
            <w:tcW w:w="1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network difficulty during YTD Q3 2022 as compared to YTD Q3 2021</w:t>
            </w: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1,326</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58,373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Impact of difference in average BTC price in YTD Q3 2022 as compared to YTD Q3</w:t>
            </w:r>
          </w:p>
        </w:tc>
        <w:tc>
          <w:tcPr>
            <w:tcW w:w="1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1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2</w:t>
            </w:r>
          </w:p>
        </w:tc>
        <w:tc>
          <w:tcPr>
            <w:tcW w:w="128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(51,268)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61"/>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Other mining variance and change in Volta and hosting revenues</w:t>
            </w:r>
          </w:p>
        </w:tc>
        <w:tc>
          <w:tcPr>
            <w:tcW w:w="11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(1,607)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 for the nine months ended September 30, 2022</w:t>
            </w:r>
          </w:p>
        </w:tc>
        <w:tc>
          <w:tcPr>
            <w:tcW w:w="1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3,733</w:t>
            </w: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115,391</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252" w:lineRule="exact"/>
        <w:rPr>
          <w:sz w:val="20"/>
          <w:szCs w:val="20"/>
          <w:color w:val="auto"/>
        </w:rPr>
      </w:pPr>
    </w:p>
    <w:p>
      <w:pPr>
        <w:ind w:left="160"/>
        <w:spacing w:after="0"/>
        <w:tabs>
          <w:tab w:leader="none" w:pos="42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Calculated as the difference in BTC mined in YTD Q3 2022 compared to YTD Q3 2021 multiplied by YTD Q3 2021 average BTC price</w:t>
      </w:r>
    </w:p>
    <w:p>
      <w:pPr>
        <w:spacing w:after="0" w:line="27" w:lineRule="exact"/>
        <w:rPr>
          <w:sz w:val="20"/>
          <w:szCs w:val="20"/>
          <w:color w:val="auto"/>
        </w:rPr>
      </w:pPr>
    </w:p>
    <w:p>
      <w:pPr>
        <w:ind w:left="160"/>
        <w:spacing w:after="0"/>
        <w:tabs>
          <w:tab w:leader="none" w:pos="42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Calculated as the difference in average BTC price in YTD Q3 2022 compared to YTD Q3 2021 multiplied by BTC mined in YTD Q3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cost of sales for Q3 2022 was $37.2 million compared to $15.3 million for Q3 2021. Cost of sales includes energy and infrastructure expenses, depreciation and amortization, electrician salaries and payroll taxes and purchases of electrical components. The increase in cost of sales was mainly due to the increase in energy and infrastructure expenses and non-cash depreciation and amortization expense. Energy and infrastructure expenses increased by $7.5 million, or 94%, mainly due to the Company adding new Miners, which increased energy utilization to an average of 152 MW during the quarter, compared to 64 MW for the same period in 2021, resulting in an increase in electricity costs of $8.7 million. The Company spent $0.4 million less to repair existing Mining hardware and upgrade existing facilities, which reduced energy and infrastructure expenses in Q3 2022 compared to the same period in the prior year. Depreciation and amortization expense increased by $14.5 million as the Company added new Miners and electrical infrastructure. The Company also incurred a $0.8 million increase in rent and other expenses mainly due to the rent agreement for the Washington facility which started during Q4 2021. The remaining difference is mainly due to the Company terminating its hosting agreements during 2021 under which a third party operated the Company’s equipment, resulting in $1.6 million lower energy and infrastructure costs in Q3 2022 compared to Q3 2021. The availability and pricing of energy may be negatively affected by governmental or regulatory changes in energy policies in the countries and Provinces where the Company operates.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cost of sales for YTD Q3 2022 was $92.8 million compared to $37.8 million for YTD Q3 2021. The increase in cost of sales was mainly due to the increase in energy and infrastructure expenses and non-cash depreciation and amortization expense due to the addition of new Miners and an upgraded fleet. Energy and infrastructure expenses increased by $18.1 million, or 87%, mainly due to the Company adding new Miners, which increased energy utilization to an average of 126 MW during the period, compared to 62 MW for the same period in 2021, resulting in an increase in electricity costs of $18.6 million. The Company also invested additional resources to repair existing Mining hardware and upgrade existing facilities, which added $0.7 million to energy and infrastructure expenses in YTD Q3 2022 compared to the same period in the prior year. Depreciation and amortization expense increased by $37.5 million as the Company added new Miners and electrical infrastructure. The Company also incurred a $1.8 million increase in rent and other expenses mainly due to the rent agreement for the Washington facility which started during Q4 2021. The remaining difference in YTD Q3 2022 compared to YTD Q3 2021 resulted from the Company terminating its hosting agreements during 2021 under which a third party operated the Company’s equipment, resulting in $3.0 million lower energy and infrastructure costs during YTD Q3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&amp; Administrative Expenses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Bitfarms’ general and administrative expenses were $10.3 million in Q3 2022 compared to $10.9 million for Q3 2021. The decrease of $0.6 million, or 6%, in general and administrative expense was largely due to a $1.8 million decrease in non-cash share-based payment expense in connection with the Company granting 2,262,000 fewer stock options during the first half of 2022 compared to the same period in 2021. Offsetting the decrease in general and administrative expenses in Q3 2022 compared to Q3 2021 was a $0.3 million increase in salaries expense as a result of higher general wage and salary levels and hiring additional employees to support its international expansion. The Company’s insurance expense also increased by $0.6 million as a result of the increase of insured assets and increased industry-specific insurance premiums, as well as an increase in insurance premiums associated with the Company’s Nasdaq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YTD Q3 2022, Bitfarms’ general and administrative and other expenses were $39.5 million, compared to $24.3 million for the same period in 2021. The increase of $15.2 million, or 63%, in general and administrative expenses was mainly due to a $5.5 million increase in non-cash share-based payment expense in connection with the Company’s grant of stock options to purchase 5,523,000 common shares and 200,000 restricted share units during 2022 and stock options granted subsequent to Q1 2021. Other factors contributing to the increase in general and administrative expenses in YTD Q3 2022 compared to YTD Q3 2021 were a $1.8 million increase in professional and other fees, mainly in connection with a two-year consulting agreement with the previous owner of the Mining facility in Washington state; legal fees in connection with the Company’s ongoing compliance as a result of its Nasdaq listing, the Company’s TSX uplisting and at-the-market offering expenses; and increased public and investor relations activities. The Company also incurred a $1.8 million increase in salaries expense as a result of implementing incentive plans and hiring additional employees to support the Company’s international expansion. The Company’s insurance expense also increased by $3.1 million as a result of the increase of insured assets and increased industry-specific insurance premiums, as well as an increase in insurance premiums associated with the Company’s Nasdaq listing on June 21, 2021. In YTD Q3 2022, the Company incurred $1.9 million of shipping costs and duties when transferring its older generation Miners from Canada to Paraguay included in general and administrative expenses that did not exist in YTD Q3 2021.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financial income and expenses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net financial income for Q3 2022 was $8.3 million compared to $0.6 million for Q3 2021. The $7.7 million change was primarily related to a $11.4 million increase in gain on disposition of marketable securities related to the funding of the Argentina Expansion, that had just begun in Q3 2021. The Company has funded its expansion in Argentina through the acquisition of marketable securities and in-kind contribution of these securities to a company in Argentina that it controls. The subsequent disposition of these marketable securities in exchange for Argentine Pesos gave rise to a gain as the equivalent amount received in Argentine Pesos exceeded the amount of Argentine Pesos the Company would have received from a direct foreign currency exchange. Offsetting the gain on disposition of marketable securities was the provision for the Argentina VAT receivable of $1.9 million in Q3 2022 related to the country’s historically high rate of inflation and length of time before the VAT receivable is refunded which was not applicable in Q3 2021. The Company’s loss on currency exchange decreased by $0.6 million mostly due to the strengthening of the U.S. dollar during Q3 2022. The increase of $2.5 million in interest expense on credit facility and long-term debt in Q3 2022, compared to the same period in 2021, was mostly due to the credit facility which commenced on December 30, 2021 and the equipment financing agreements which commenced on February 18, 2022 and June 15, 2022.</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Bitfarms’ net financial income for YTD Q3 2022 was $24.2 million compared to net finance expenses of $23.9 million for YTD Q3 2021. The $48.1 million change was mainly due to a $42.0 million increase in gain on disposition of marketable securities related to the funding of the Argentina Expansion during YTD Q3 2022, which was partially offset by the provision on the Argentina VAT receivable of $6.9 million during the same period and by a $1.5 million increase in loss on currency exchange. The $48.1 million change was also due to a $19.5 million loss on the revaluation of warrants related to a private placement which closed on January 7, 2021 and a loan with Dominion Capital in Q1 2021 (the “Dominion Loan”), which were exercised in Q1 2021 and not applicable in YTD Q3 2022, in addition to a loss on embedded derivative of $2.6 million in Q1 2021 that no longer existed in YTD Q3 2022. Warrant issuance costs decreased by $0.7 million due to there being no issuance costs in YTD Q3 2022 compared to the costs for the 40,332,000 warrants granted in YTD Q3 2021. The interest expense on credit facility and long-term debt increased by $8.5 million during YTD Q3 2022, compared to the same period in 2021, as a result of the credit facility that commenced on December 30, 2021 and the equipment financing agreements that commenced on February 18, 2022 and June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on equipment and construction prepayments, property, plant and equipment and right-of-use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at September 30, 2022, as a result of the decline in the BTC price during the three and nine-month periods then ended, the Company performed an evaluation of the recoverable amount of the assets for the operating cryptocurrency mining facilities in Quebec, Washington state and Argentina separately. As the group of assets for each cash-generating unit (“CGU”) do not generate cash inflows that are independent of each other, the recoverable amount was calculated for each CGU comprised of the property, plant and equipment (“PPE”), right-of-use assets, long-term electricity deposits, long-term construction and equipment prepayments and favourable lease used in the operating cryptocurrency mining facilities in Quebec, Washington state and Argentina.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Based on its calculations, the Company determined that an impairment charge should only be recorded on its Argentina operating cryptocurrency mining CGU in the amount of $79.5 million during the three and nine months ended September 30, 2022, of which $48.9 million was allocated to equipment and construction prepayments, $1.6 million to right-of-use-assets and $29.0 million to PPE. The impairment loss was recognized in profit or loss under Impairment on equipment and construction prepayments, property, plant and equipment and right-of-use assets. The majority of assets included in the Argentina operating cryptocurrency mining CGU are funded through the conversion of U.S. dollars to Argentine Pesos, which generated a gain on disposition of marketable securities. The gain on disposition of marketable securities is reflected in the value of the assets before any impairment charge is incurred. The combined impact of the impairment charge on the operating Argentina CGU and the cumulative gain on disposition of marketable securities from Argentina is an expense of $29.0 million in profit or loss. For more details of the key assumptions used in the Quebec, Washington state and Argentina calculation, refer to note 6 of the third quarter 2022 unaudited interim period condensed consolidated financial statements.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reverse acquisition of Bitfarms Ltd. (Israel), the Company engaged an independent appraiser to support management’s determination of fair value as at the acquisition date, April 12, 2018, of Suni, an iron ore deposit located in Canada held by the acquiree. The appraiser’s valuation report was based on the market comparison method and the analysis of similar assets. Following certain adjustments resulting from changes in the price of iron ore, among other variables, Suni’s value at April 12, 2018 was estimated at $9.0 million. Subsequently, it has been tested annually for impairment. An independent appraiser was engaged to determine Suni’s fair value as of September 30, 2022 due to the decline in the iron ore price during the three months ended September 30, 2022. Using the same method as the previous independent appraiser, the new appraiser determined that the fair value of Suni was $3.3 million, or $3.0 million after reflecting estimated costs to sell, compared to $7.2 million on December 31, 2021, which resulted in an impairment of $4.2 million during the three and nine months ended September 30, 2022 to Suni’s mineral assets book value. The impairment loss was recognized in profit or loss under Impairment on equipment and construction prepayments, property, plant and equipment and right-of-use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on goodwill during the six months ended June 30, 2022</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decline in the BTC price during the six months ended June 30, 2022, the Company performed an evaluation of the recoverable amount of the property, plant and equipment and intangible assets for the Washington state cryptocurrency mining facility. As these groups of assets do not generate cash inflows that are independent of each other, the recoverable amount was calculated for the CGU comprised of the assets of BVVE and electrical equipment, long-term electricity deposits, land, building and favourable lease used in the cryptocurrency mining facility in Washington state.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its calculation, the Company recorded an impairment loss on its Washington state cryptocurrency mining CGU resulting in an impairment charge to goodwill of $17.9 million during the three and six months ended June 30, 2022. The impairment loss was recognized in profit or loss under Impairment on goodwill. For more details of the key assumptions used in the calculation, refer to Note 3 of the third quarter 2022 unaudited interim period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0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Quarterly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 $ in thousands except earnings</w:t>
            </w:r>
          </w:p>
        </w:tc>
        <w:tc>
          <w:tcPr>
            <w:tcW w:w="100" w:type="dxa"/>
            <w:vAlign w:val="bottom"/>
            <w:tcBorders>
              <w:top w:val="single" w:sz="8" w:color="auto"/>
            </w:tcBorders>
            <w:shd w:val="clear" w:color="auto" w:fill="ECECEC"/>
          </w:tcPr>
          <w:p>
            <w:pPr>
              <w:spacing w:after="0"/>
              <w:rPr>
                <w:sz w:val="18"/>
                <w:szCs w:val="18"/>
                <w:color w:val="auto"/>
              </w:rPr>
            </w:pPr>
          </w:p>
        </w:tc>
        <w:tc>
          <w:tcPr>
            <w:tcW w:w="840" w:type="dxa"/>
            <w:vAlign w:val="bottom"/>
            <w:tcBorders>
              <w:top w:val="single" w:sz="8" w:color="auto"/>
            </w:tcBorders>
            <w:gridSpan w:val="2"/>
            <w:vMerge w:val="restart"/>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Q3 2022</w:t>
            </w:r>
          </w:p>
        </w:tc>
        <w:tc>
          <w:tcPr>
            <w:tcW w:w="1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 share)</w:t>
            </w:r>
          </w:p>
        </w:tc>
        <w:tc>
          <w:tcPr>
            <w:tcW w:w="100" w:type="dxa"/>
            <w:vAlign w:val="bottom"/>
            <w:tcBorders>
              <w:bottom w:val="single" w:sz="8" w:color="auto"/>
            </w:tcBorders>
            <w:shd w:val="clear" w:color="auto" w:fill="ECECEC"/>
          </w:tcPr>
          <w:p>
            <w:pPr>
              <w:spacing w:after="0"/>
              <w:rPr>
                <w:sz w:val="20"/>
                <w:szCs w:val="20"/>
                <w:color w:val="auto"/>
              </w:rPr>
            </w:pPr>
          </w:p>
        </w:tc>
        <w:tc>
          <w:tcPr>
            <w:tcW w:w="840" w:type="dxa"/>
            <w:vAlign w:val="bottom"/>
            <w:tcBorders>
              <w:bottom w:val="single" w:sz="8" w:color="auto"/>
            </w:tcBorders>
            <w:gridSpan w:val="2"/>
            <w:vMerge w:val="continue"/>
            <w:shd w:val="clear" w:color="auto" w:fill="ECECEC"/>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2022</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Q1 2022</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Q4 2021</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Q3 2021</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2021</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Q1 2021</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Q4 2020</w:t>
            </w:r>
          </w:p>
        </w:tc>
        <w:tc>
          <w:tcPr>
            <w:tcW w:w="0" w:type="dxa"/>
            <w:vAlign w:val="bottom"/>
          </w:tcPr>
          <w:p>
            <w:pPr>
              <w:spacing w:after="0"/>
              <w:rPr>
                <w:sz w:val="1"/>
                <w:szCs w:val="1"/>
                <w:color w:val="auto"/>
              </w:rPr>
            </w:pPr>
          </w:p>
        </w:tc>
      </w:tr>
      <w:tr>
        <w:trPr>
          <w:trHeight w:val="209"/>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ECECEC"/>
          </w:tcPr>
          <w:p>
            <w:pPr>
              <w:spacing w:after="0"/>
              <w:rPr>
                <w:sz w:val="18"/>
                <w:szCs w:val="18"/>
                <w:color w:val="auto"/>
              </w:rPr>
            </w:pPr>
          </w:p>
        </w:tc>
        <w:tc>
          <w:tcPr>
            <w:tcW w:w="840" w:type="dxa"/>
            <w:vAlign w:val="bottom"/>
            <w:gridSpan w:val="2"/>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33,247</w:t>
            </w: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41,815</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40,329</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59,598</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44,774</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36,687</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28,432</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11,324</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ECECEC"/>
          </w:tcPr>
          <w:p>
            <w:pPr>
              <w:spacing w:after="0"/>
              <w:rPr>
                <w:sz w:val="18"/>
                <w:szCs w:val="18"/>
                <w:color w:val="auto"/>
              </w:rPr>
            </w:pPr>
          </w:p>
        </w:tc>
        <w:tc>
          <w:tcPr>
            <w:tcW w:w="6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(84,808)</w:t>
            </w:r>
          </w:p>
        </w:tc>
        <w:tc>
          <w:tcPr>
            <w:tcW w:w="180" w:type="dxa"/>
            <w:vAlign w:val="bottom"/>
            <w:vMerge w:val="restart"/>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(141,918)</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4,519</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9,677</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23,733</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(3,675)</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(7,605)</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(5,374)</w:t>
            </w:r>
          </w:p>
        </w:tc>
        <w:tc>
          <w:tcPr>
            <w:tcW w:w="0" w:type="dxa"/>
            <w:vAlign w:val="bottom"/>
          </w:tcPr>
          <w:p>
            <w:pPr>
              <w:spacing w:after="0"/>
              <w:rPr>
                <w:sz w:val="1"/>
                <w:szCs w:val="1"/>
                <w:color w:val="auto"/>
              </w:rPr>
            </w:pPr>
          </w:p>
        </w:tc>
      </w:tr>
      <w:tr>
        <w:trPr>
          <w:trHeight w:val="243"/>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Basic net (loss) earnings per share</w:t>
            </w:r>
          </w:p>
        </w:tc>
        <w:tc>
          <w:tcPr>
            <w:tcW w:w="100" w:type="dxa"/>
            <w:vAlign w:val="bottom"/>
            <w:tcBorders>
              <w:bottom w:val="single" w:sz="8" w:color="auto"/>
            </w:tcBorders>
            <w:shd w:val="clear" w:color="auto" w:fill="ECECEC"/>
          </w:tcPr>
          <w:p>
            <w:pPr>
              <w:spacing w:after="0"/>
              <w:rPr>
                <w:sz w:val="21"/>
                <w:szCs w:val="21"/>
                <w:color w:val="auto"/>
              </w:rPr>
            </w:pP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(0.40</w:t>
            </w:r>
          </w:p>
        </w:tc>
        <w:tc>
          <w:tcPr>
            <w:tcW w:w="180" w:type="dxa"/>
            <w:vAlign w:val="bottom"/>
            <w:tcBorders>
              <w:bottom w:val="single" w:sz="8" w:color="auto"/>
            </w:tcBorders>
            <w:vMerge w:val="continue"/>
            <w:shd w:val="clear" w:color="auto" w:fill="ECECEC"/>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(0.70)</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0.02</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0.05</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0.14</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(0.02)</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(0.06)</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(U.S. $ in thousands except where</w:t>
            </w:r>
          </w:p>
        </w:tc>
        <w:tc>
          <w:tcPr>
            <w:tcW w:w="100" w:type="dxa"/>
            <w:vAlign w:val="bottom"/>
            <w:shd w:val="clear" w:color="auto" w:fill="ECECEC"/>
          </w:tcPr>
          <w:p>
            <w:pPr>
              <w:spacing w:after="0"/>
              <w:rPr>
                <w:sz w:val="16"/>
                <w:szCs w:val="16"/>
                <w:color w:val="auto"/>
              </w:rPr>
            </w:pPr>
          </w:p>
        </w:tc>
        <w:tc>
          <w:tcPr>
            <w:tcW w:w="840" w:type="dxa"/>
            <w:vAlign w:val="bottom"/>
            <w:gridSpan w:val="2"/>
            <w:vMerge w:val="restart"/>
            <w:shd w:val="clear" w:color="auto" w:fill="ECECE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Q3 2022</w:t>
            </w:r>
          </w:p>
        </w:tc>
        <w:tc>
          <w:tcPr>
            <w:tcW w:w="1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indicated)</w:t>
            </w:r>
          </w:p>
        </w:tc>
        <w:tc>
          <w:tcPr>
            <w:tcW w:w="100" w:type="dxa"/>
            <w:vAlign w:val="bottom"/>
            <w:tcBorders>
              <w:bottom w:val="single" w:sz="8" w:color="auto"/>
            </w:tcBorders>
            <w:shd w:val="clear" w:color="auto" w:fill="ECECEC"/>
          </w:tcPr>
          <w:p>
            <w:pPr>
              <w:spacing w:after="0"/>
              <w:rPr>
                <w:sz w:val="20"/>
                <w:szCs w:val="20"/>
                <w:color w:val="auto"/>
              </w:rPr>
            </w:pPr>
          </w:p>
        </w:tc>
        <w:tc>
          <w:tcPr>
            <w:tcW w:w="840" w:type="dxa"/>
            <w:vAlign w:val="bottom"/>
            <w:tcBorders>
              <w:bottom w:val="single" w:sz="8" w:color="auto"/>
            </w:tcBorders>
            <w:gridSpan w:val="2"/>
            <w:vMerge w:val="continue"/>
            <w:shd w:val="clear" w:color="auto" w:fill="ECECEC"/>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2022</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Q1 2022</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Q4 2021</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Q3 2021</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Q2 2021</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Q1 2021</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Q4 2020</w:t>
            </w:r>
          </w:p>
        </w:tc>
        <w:tc>
          <w:tcPr>
            <w:tcW w:w="0" w:type="dxa"/>
            <w:vAlign w:val="bottom"/>
          </w:tcPr>
          <w:p>
            <w:pPr>
              <w:spacing w:after="0"/>
              <w:rPr>
                <w:sz w:val="1"/>
                <w:szCs w:val="1"/>
                <w:color w:val="auto"/>
              </w:rPr>
            </w:pPr>
          </w:p>
        </w:tc>
      </w:tr>
      <w:tr>
        <w:trPr>
          <w:trHeight w:val="23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100" w:type="dxa"/>
            <w:vAlign w:val="bottom"/>
            <w:tcBorders>
              <w:bottom w:val="single" w:sz="8" w:color="auto"/>
            </w:tcBorders>
            <w:shd w:val="clear" w:color="auto" w:fill="ECECEC"/>
          </w:tcPr>
          <w:p>
            <w:pPr>
              <w:spacing w:after="0"/>
              <w:rPr>
                <w:sz w:val="20"/>
                <w:szCs w:val="20"/>
                <w:color w:val="auto"/>
              </w:rPr>
            </w:pP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(89,533</w:t>
            </w:r>
          </w:p>
        </w:tc>
        <w:tc>
          <w:tcPr>
            <w:tcW w:w="18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(161,234)</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10,957</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17,937</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34,706</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(3,071)</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(6,935)</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ECECEC"/>
          </w:tcPr>
          <w:p>
            <w:pPr>
              <w:spacing w:after="0"/>
              <w:rPr>
                <w:sz w:val="18"/>
                <w:szCs w:val="18"/>
                <w:color w:val="auto"/>
              </w:rPr>
            </w:pPr>
          </w:p>
        </w:tc>
        <w:tc>
          <w:tcPr>
            <w:tcW w:w="6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3,394</w:t>
            </w:r>
          </w:p>
        </w:tc>
        <w:tc>
          <w:tcPr>
            <w:tcW w:w="180" w:type="dxa"/>
            <w:vAlign w:val="bottom"/>
            <w:shd w:val="clear" w:color="auto" w:fill="ECECEC"/>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4,546</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3,010</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837</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788</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897</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898</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1,756</w:t>
            </w:r>
          </w:p>
        </w:tc>
        <w:tc>
          <w:tcPr>
            <w:tcW w:w="0" w:type="dxa"/>
            <w:vAlign w:val="bottom"/>
          </w:tcPr>
          <w:p>
            <w:pPr>
              <w:spacing w:after="0"/>
              <w:rPr>
                <w:sz w:val="1"/>
                <w:szCs w:val="1"/>
                <w:color w:val="auto"/>
              </w:rPr>
            </w:pPr>
          </w:p>
        </w:tc>
      </w:tr>
      <w:tr>
        <w:trPr>
          <w:trHeight w:val="238"/>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Borders>
              <w:bottom w:val="single" w:sz="8" w:color="auto"/>
            </w:tcBorders>
            <w:shd w:val="clear" w:color="auto" w:fill="ECECEC"/>
          </w:tcPr>
          <w:p>
            <w:pPr>
              <w:spacing w:after="0"/>
              <w:rPr>
                <w:sz w:val="20"/>
                <w:szCs w:val="20"/>
                <w:color w:val="auto"/>
              </w:rPr>
            </w:pP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20,720</w:t>
            </w:r>
          </w:p>
        </w:tc>
        <w:tc>
          <w:tcPr>
            <w:tcW w:w="180" w:type="dxa"/>
            <w:vAlign w:val="bottom"/>
            <w:tcBorders>
              <w:bottom w:val="single" w:sz="8" w:color="auto"/>
            </w:tcBorders>
            <w:shd w:val="clear" w:color="auto" w:fill="ECECEC"/>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17,857</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13,066</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10,287</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6,261</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4,920</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3,008</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00" w:type="dxa"/>
            <w:vAlign w:val="bottom"/>
            <w:tcBorders>
              <w:bottom w:val="single" w:sz="8" w:color="auto"/>
            </w:tcBorders>
            <w:shd w:val="clear" w:color="auto" w:fill="ECECEC"/>
          </w:tcPr>
          <w:p>
            <w:pPr>
              <w:spacing w:after="0"/>
              <w:rPr>
                <w:sz w:val="20"/>
                <w:szCs w:val="20"/>
                <w:color w:val="auto"/>
              </w:rPr>
            </w:pP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(65,419</w:t>
            </w:r>
          </w:p>
        </w:tc>
        <w:tc>
          <w:tcPr>
            <w:tcW w:w="18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(138,831)</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27,033</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29,061</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41,755</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2,746</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(3,029)</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191"/>
        </w:trPr>
        <w:tc>
          <w:tcPr>
            <w:tcW w:w="30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Share-based payment</w:t>
            </w:r>
          </w:p>
        </w:tc>
        <w:tc>
          <w:tcPr>
            <w:tcW w:w="100" w:type="dxa"/>
            <w:vAlign w:val="bottom"/>
            <w:shd w:val="clear" w:color="auto" w:fill="ECECEC"/>
          </w:tcPr>
          <w:p>
            <w:pPr>
              <w:spacing w:after="0"/>
              <w:rPr>
                <w:sz w:val="16"/>
                <w:szCs w:val="16"/>
                <w:color w:val="auto"/>
              </w:rPr>
            </w:pPr>
          </w:p>
        </w:tc>
        <w:tc>
          <w:tcPr>
            <w:tcW w:w="660" w:type="dxa"/>
            <w:vAlign w:val="bottom"/>
            <w:shd w:val="clear" w:color="auto" w:fill="ECECEC"/>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3,961</w:t>
            </w:r>
          </w:p>
        </w:tc>
        <w:tc>
          <w:tcPr>
            <w:tcW w:w="180" w:type="dxa"/>
            <w:vAlign w:val="bottom"/>
            <w:shd w:val="clear" w:color="auto" w:fill="ECECEC"/>
          </w:tcPr>
          <w:p>
            <w:pPr>
              <w:spacing w:after="0"/>
              <w:rPr>
                <w:sz w:val="16"/>
                <w:szCs w:val="16"/>
                <w:color w:val="auto"/>
              </w:rPr>
            </w:pPr>
          </w:p>
        </w:tc>
        <w:tc>
          <w:tcPr>
            <w:tcW w:w="11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7,927</w:t>
            </w:r>
          </w:p>
        </w:tc>
        <w:tc>
          <w:tcPr>
            <w:tcW w:w="102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6,105</w:t>
            </w:r>
          </w:p>
        </w:tc>
        <w:tc>
          <w:tcPr>
            <w:tcW w:w="10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10,036</w:t>
            </w:r>
          </w:p>
        </w:tc>
        <w:tc>
          <w:tcPr>
            <w:tcW w:w="10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5,787</w:t>
            </w:r>
          </w:p>
        </w:tc>
        <w:tc>
          <w:tcPr>
            <w:tcW w:w="10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6,342</w:t>
            </w:r>
          </w:p>
        </w:tc>
        <w:tc>
          <w:tcPr>
            <w:tcW w:w="1040" w:type="dxa"/>
            <w:vAlign w:val="bottom"/>
          </w:tcPr>
          <w:p>
            <w:pPr>
              <w:jc w:val="right"/>
              <w:ind w:right="190"/>
              <w:spacing w:after="0" w:line="191" w:lineRule="exact"/>
              <w:rPr>
                <w:sz w:val="20"/>
                <w:szCs w:val="20"/>
                <w:color w:val="auto"/>
              </w:rPr>
            </w:pPr>
            <w:r>
              <w:rPr>
                <w:rFonts w:ascii="Times New Roman" w:cs="Times New Roman" w:eastAsia="Times New Roman" w:hAnsi="Times New Roman"/>
                <w:sz w:val="18"/>
                <w:szCs w:val="18"/>
                <w:color w:val="auto"/>
              </w:rPr>
              <w:t>420</w:t>
            </w:r>
          </w:p>
        </w:tc>
        <w:tc>
          <w:tcPr>
            <w:tcW w:w="92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Realized loss (gain) on disposition of</w:t>
            </w:r>
          </w:p>
        </w:tc>
        <w:tc>
          <w:tcPr>
            <w:tcW w:w="100" w:type="dxa"/>
            <w:vAlign w:val="bottom"/>
            <w:shd w:val="clear" w:color="auto" w:fill="ECECEC"/>
          </w:tcPr>
          <w:p>
            <w:pPr>
              <w:spacing w:after="0"/>
              <w:rPr>
                <w:sz w:val="18"/>
                <w:szCs w:val="18"/>
                <w:color w:val="auto"/>
              </w:rPr>
            </w:pPr>
          </w:p>
        </w:tc>
        <w:tc>
          <w:tcPr>
            <w:tcW w:w="6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44,329</w:t>
            </w:r>
          </w:p>
        </w:tc>
        <w:tc>
          <w:tcPr>
            <w:tcW w:w="180" w:type="dxa"/>
            <w:vAlign w:val="bottom"/>
            <w:shd w:val="clear" w:color="auto" w:fill="ECECEC"/>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100" w:type="dxa"/>
            <w:vAlign w:val="bottom"/>
            <w:shd w:val="clear" w:color="auto" w:fill="ECECEC"/>
          </w:tcPr>
          <w:p>
            <w:pPr>
              <w:spacing w:after="0"/>
              <w:rPr>
                <w:sz w:val="18"/>
                <w:szCs w:val="18"/>
                <w:color w:val="auto"/>
              </w:rPr>
            </w:pPr>
          </w:p>
        </w:tc>
        <w:tc>
          <w:tcPr>
            <w:tcW w:w="660" w:type="dxa"/>
            <w:vAlign w:val="bottom"/>
            <w:vMerge w:val="continue"/>
            <w:shd w:val="clear" w:color="auto" w:fill="ECECEC"/>
          </w:tcPr>
          <w:p>
            <w:pPr>
              <w:spacing w:after="0"/>
              <w:rPr>
                <w:sz w:val="18"/>
                <w:szCs w:val="18"/>
                <w:color w:val="auto"/>
              </w:rPr>
            </w:pPr>
          </w:p>
        </w:tc>
        <w:tc>
          <w:tcPr>
            <w:tcW w:w="180" w:type="dxa"/>
            <w:vAlign w:val="bottom"/>
            <w:shd w:val="clear" w:color="auto" w:fill="ECECEC"/>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77,880</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34</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137</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177</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(gain) loss on</w:t>
            </w:r>
          </w:p>
        </w:tc>
        <w:tc>
          <w:tcPr>
            <w:tcW w:w="100" w:type="dxa"/>
            <w:vAlign w:val="bottom"/>
            <w:shd w:val="clear" w:color="auto" w:fill="ECECEC"/>
          </w:tcPr>
          <w:p>
            <w:pPr>
              <w:spacing w:after="0"/>
              <w:rPr>
                <w:sz w:val="18"/>
                <w:szCs w:val="18"/>
                <w:color w:val="auto"/>
              </w:rPr>
            </w:pPr>
          </w:p>
        </w:tc>
        <w:tc>
          <w:tcPr>
            <w:tcW w:w="6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(45,655)</w:t>
            </w:r>
          </w:p>
        </w:tc>
        <w:tc>
          <w:tcPr>
            <w:tcW w:w="180" w:type="dxa"/>
            <w:vAlign w:val="bottom"/>
            <w:shd w:val="clear" w:color="auto" w:fill="ECECEC"/>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digital assets</w:t>
            </w:r>
          </w:p>
        </w:tc>
        <w:tc>
          <w:tcPr>
            <w:tcW w:w="100" w:type="dxa"/>
            <w:vAlign w:val="bottom"/>
            <w:shd w:val="clear" w:color="auto" w:fill="ECECEC"/>
          </w:tcPr>
          <w:p>
            <w:pPr>
              <w:spacing w:after="0"/>
              <w:rPr>
                <w:sz w:val="18"/>
                <w:szCs w:val="18"/>
                <w:color w:val="auto"/>
              </w:rPr>
            </w:pPr>
          </w:p>
        </w:tc>
        <w:tc>
          <w:tcPr>
            <w:tcW w:w="660" w:type="dxa"/>
            <w:vAlign w:val="bottom"/>
            <w:vMerge w:val="continue"/>
            <w:shd w:val="clear" w:color="auto" w:fill="ECECEC"/>
          </w:tcPr>
          <w:p>
            <w:pPr>
              <w:spacing w:after="0"/>
              <w:rPr>
                <w:sz w:val="18"/>
                <w:szCs w:val="18"/>
                <w:color w:val="auto"/>
              </w:rPr>
            </w:pPr>
          </w:p>
        </w:tc>
        <w:tc>
          <w:tcPr>
            <w:tcW w:w="180" w:type="dxa"/>
            <w:vAlign w:val="bottom"/>
            <w:shd w:val="clear" w:color="auto" w:fill="ECECEC"/>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70,475</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(3,702)</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3,869</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(13,893)</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14,885</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equipment and</w:t>
            </w:r>
          </w:p>
        </w:tc>
        <w:tc>
          <w:tcPr>
            <w:tcW w:w="100" w:type="dxa"/>
            <w:vAlign w:val="bottom"/>
            <w:shd w:val="clear" w:color="auto" w:fill="ECECEC"/>
          </w:tcPr>
          <w:p>
            <w:pPr>
              <w:spacing w:after="0"/>
              <w:rPr>
                <w:sz w:val="18"/>
                <w:szCs w:val="18"/>
                <w:color w:val="auto"/>
              </w:rPr>
            </w:pPr>
          </w:p>
        </w:tc>
        <w:tc>
          <w:tcPr>
            <w:tcW w:w="660" w:type="dxa"/>
            <w:vAlign w:val="bottom"/>
            <w:shd w:val="clear" w:color="auto" w:fill="ECECEC"/>
          </w:tcPr>
          <w:p>
            <w:pPr>
              <w:spacing w:after="0"/>
              <w:rPr>
                <w:sz w:val="18"/>
                <w:szCs w:val="18"/>
                <w:color w:val="auto"/>
              </w:rPr>
            </w:pPr>
          </w:p>
        </w:tc>
        <w:tc>
          <w:tcPr>
            <w:tcW w:w="180" w:type="dxa"/>
            <w:vAlign w:val="bottom"/>
            <w:shd w:val="clear" w:color="auto" w:fill="ECECEC"/>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prepayments, property,</w:t>
            </w:r>
          </w:p>
        </w:tc>
        <w:tc>
          <w:tcPr>
            <w:tcW w:w="100" w:type="dxa"/>
            <w:vAlign w:val="bottom"/>
            <w:shd w:val="clear" w:color="auto" w:fill="ECECEC"/>
          </w:tcPr>
          <w:p>
            <w:pPr>
              <w:spacing w:after="0"/>
              <w:rPr>
                <w:sz w:val="18"/>
                <w:szCs w:val="18"/>
                <w:color w:val="auto"/>
              </w:rPr>
            </w:pPr>
          </w:p>
        </w:tc>
        <w:tc>
          <w:tcPr>
            <w:tcW w:w="660" w:type="dxa"/>
            <w:vAlign w:val="bottom"/>
            <w:shd w:val="clear" w:color="auto" w:fill="ECECEC"/>
          </w:tcPr>
          <w:p>
            <w:pPr>
              <w:spacing w:after="0"/>
              <w:rPr>
                <w:sz w:val="18"/>
                <w:szCs w:val="18"/>
                <w:color w:val="auto"/>
              </w:rPr>
            </w:pPr>
          </w:p>
        </w:tc>
        <w:tc>
          <w:tcPr>
            <w:tcW w:w="180" w:type="dxa"/>
            <w:vAlign w:val="bottom"/>
            <w:shd w:val="clear" w:color="auto" w:fill="ECECEC"/>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plant and equipment and right-of-use</w:t>
            </w:r>
          </w:p>
        </w:tc>
        <w:tc>
          <w:tcPr>
            <w:tcW w:w="100" w:type="dxa"/>
            <w:vAlign w:val="bottom"/>
            <w:shd w:val="clear" w:color="auto" w:fill="ECECEC"/>
          </w:tcPr>
          <w:p>
            <w:pPr>
              <w:spacing w:after="0"/>
              <w:rPr>
                <w:sz w:val="18"/>
                <w:szCs w:val="18"/>
                <w:color w:val="auto"/>
              </w:rPr>
            </w:pPr>
          </w:p>
        </w:tc>
        <w:tc>
          <w:tcPr>
            <w:tcW w:w="6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84,116</w:t>
            </w:r>
          </w:p>
        </w:tc>
        <w:tc>
          <w:tcPr>
            <w:tcW w:w="180" w:type="dxa"/>
            <w:vAlign w:val="bottom"/>
            <w:shd w:val="clear" w:color="auto" w:fill="ECECEC"/>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ECECEC"/>
          </w:tcPr>
          <w:p>
            <w:pPr>
              <w:spacing w:after="0"/>
              <w:rPr>
                <w:sz w:val="18"/>
                <w:szCs w:val="18"/>
                <w:color w:val="auto"/>
              </w:rPr>
            </w:pPr>
          </w:p>
        </w:tc>
        <w:tc>
          <w:tcPr>
            <w:tcW w:w="660" w:type="dxa"/>
            <w:vAlign w:val="bottom"/>
            <w:vMerge w:val="continue"/>
            <w:shd w:val="clear" w:color="auto" w:fill="ECECEC"/>
          </w:tcPr>
          <w:p>
            <w:pPr>
              <w:spacing w:after="0"/>
              <w:rPr>
                <w:sz w:val="18"/>
                <w:szCs w:val="18"/>
                <w:color w:val="auto"/>
              </w:rPr>
            </w:pPr>
          </w:p>
        </w:tc>
        <w:tc>
          <w:tcPr>
            <w:tcW w:w="180" w:type="dxa"/>
            <w:vAlign w:val="bottom"/>
            <w:shd w:val="clear" w:color="auto" w:fill="ECECEC"/>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1,800</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reversal on property, plant</w:t>
            </w:r>
          </w:p>
        </w:tc>
        <w:tc>
          <w:tcPr>
            <w:tcW w:w="100" w:type="dxa"/>
            <w:vAlign w:val="bottom"/>
            <w:shd w:val="clear" w:color="auto" w:fill="ECECEC"/>
          </w:tcPr>
          <w:p>
            <w:pPr>
              <w:spacing w:after="0"/>
              <w:rPr>
                <w:sz w:val="18"/>
                <w:szCs w:val="18"/>
                <w:color w:val="auto"/>
              </w:rPr>
            </w:pPr>
          </w:p>
        </w:tc>
        <w:tc>
          <w:tcPr>
            <w:tcW w:w="6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ECECEC"/>
          </w:tcPr>
          <w:p>
            <w:pPr>
              <w:spacing w:after="0"/>
              <w:rPr>
                <w:sz w:val="18"/>
                <w:szCs w:val="18"/>
                <w:color w:val="auto"/>
              </w:rPr>
            </w:pPr>
          </w:p>
        </w:tc>
        <w:tc>
          <w:tcPr>
            <w:tcW w:w="1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and equipment</w:t>
            </w:r>
          </w:p>
        </w:tc>
        <w:tc>
          <w:tcPr>
            <w:tcW w:w="100" w:type="dxa"/>
            <w:vAlign w:val="bottom"/>
            <w:shd w:val="clear" w:color="auto" w:fill="ECECEC"/>
          </w:tcPr>
          <w:p>
            <w:pPr>
              <w:spacing w:after="0"/>
              <w:rPr>
                <w:sz w:val="18"/>
                <w:szCs w:val="18"/>
                <w:color w:val="auto"/>
              </w:rPr>
            </w:pPr>
          </w:p>
        </w:tc>
        <w:tc>
          <w:tcPr>
            <w:tcW w:w="660" w:type="dxa"/>
            <w:vAlign w:val="bottom"/>
            <w:vMerge w:val="continue"/>
            <w:shd w:val="clear" w:color="auto" w:fill="ECECEC"/>
          </w:tcPr>
          <w:p>
            <w:pPr>
              <w:spacing w:after="0"/>
              <w:rPr>
                <w:sz w:val="18"/>
                <w:szCs w:val="18"/>
                <w:color w:val="auto"/>
              </w:rPr>
            </w:pPr>
          </w:p>
        </w:tc>
        <w:tc>
          <w:tcPr>
            <w:tcW w:w="180" w:type="dxa"/>
            <w:vAlign w:val="bottom"/>
            <w:shd w:val="clear" w:color="auto" w:fill="ECECEC"/>
          </w:tcPr>
          <w:p>
            <w:pPr>
              <w:spacing w:after="0"/>
              <w:rPr>
                <w:sz w:val="18"/>
                <w:szCs w:val="18"/>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(1,860)</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100" w:type="dxa"/>
            <w:vAlign w:val="bottom"/>
            <w:shd w:val="clear" w:color="auto" w:fill="ECECEC"/>
          </w:tcPr>
          <w:p>
            <w:pPr>
              <w:spacing w:after="0"/>
              <w:rPr>
                <w:sz w:val="19"/>
                <w:szCs w:val="19"/>
                <w:color w:val="auto"/>
              </w:rPr>
            </w:pPr>
          </w:p>
        </w:tc>
        <w:tc>
          <w:tcPr>
            <w:tcW w:w="6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ECECEC"/>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17,900</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Net financial (income) expenses and</w:t>
            </w:r>
          </w:p>
        </w:tc>
        <w:tc>
          <w:tcPr>
            <w:tcW w:w="100" w:type="dxa"/>
            <w:vAlign w:val="bottom"/>
            <w:shd w:val="clear" w:color="auto" w:fill="ECECEC"/>
          </w:tcPr>
          <w:p>
            <w:pPr>
              <w:spacing w:after="0"/>
              <w:rPr>
                <w:sz w:val="18"/>
                <w:szCs w:val="18"/>
                <w:color w:val="auto"/>
              </w:rPr>
            </w:pPr>
          </w:p>
        </w:tc>
        <w:tc>
          <w:tcPr>
            <w:tcW w:w="6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(11,015</w:t>
            </w:r>
          </w:p>
        </w:tc>
        <w:tc>
          <w:tcPr>
            <w:tcW w:w="180" w:type="dxa"/>
            <w:vAlign w:val="bottom"/>
            <w:vMerge w:val="restart"/>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(16,666)</w:t>
            </w:r>
          </w:p>
        </w:tc>
        <w:tc>
          <w:tcPr>
            <w:tcW w:w="10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(8,030)</w:t>
            </w: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(4,628)</w:t>
            </w: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(2,204)</w:t>
            </w: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(146)</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ECECEC"/>
          </w:tcPr>
          <w:p>
            <w:pPr>
              <w:spacing w:after="0"/>
              <w:rPr>
                <w:sz w:val="18"/>
                <w:szCs w:val="18"/>
                <w:color w:val="auto"/>
              </w:rPr>
            </w:pPr>
          </w:p>
        </w:tc>
        <w:tc>
          <w:tcPr>
            <w:tcW w:w="660" w:type="dxa"/>
            <w:vAlign w:val="bottom"/>
            <w:vMerge w:val="continue"/>
            <w:shd w:val="clear" w:color="auto" w:fill="ECECEC"/>
          </w:tcPr>
          <w:p>
            <w:pPr>
              <w:spacing w:after="0"/>
              <w:rPr>
                <w:sz w:val="18"/>
                <w:szCs w:val="18"/>
                <w:color w:val="auto"/>
              </w:rPr>
            </w:pPr>
          </w:p>
        </w:tc>
        <w:tc>
          <w:tcPr>
            <w:tcW w:w="180" w:type="dxa"/>
            <w:vAlign w:val="bottom"/>
            <w:vMerge w:val="continue"/>
            <w:shd w:val="clear" w:color="auto" w:fill="ECECEC"/>
          </w:tcPr>
          <w:p>
            <w:pPr>
              <w:spacing w:after="0"/>
              <w:rPr>
                <w:sz w:val="18"/>
                <w:szCs w:val="18"/>
                <w:color w:val="auto"/>
              </w:rPr>
            </w:pPr>
          </w:p>
        </w:tc>
        <w:tc>
          <w:tcPr>
            <w:tcW w:w="114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22,310</w:t>
            </w: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3,653</w:t>
            </w:r>
          </w:p>
        </w:tc>
        <w:tc>
          <w:tcPr>
            <w:tcW w:w="0" w:type="dxa"/>
            <w:vAlign w:val="bottom"/>
          </w:tcPr>
          <w:p>
            <w:pPr>
              <w:spacing w:after="0"/>
              <w:rPr>
                <w:sz w:val="1"/>
                <w:szCs w:val="1"/>
                <w:color w:val="auto"/>
              </w:rPr>
            </w:pPr>
          </w:p>
        </w:tc>
      </w:tr>
      <w:tr>
        <w:trPr>
          <w:trHeight w:val="238"/>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 w:type="dxa"/>
            <w:vAlign w:val="bottom"/>
            <w:tcBorders>
              <w:bottom w:val="single" w:sz="8" w:color="auto"/>
            </w:tcBorders>
            <w:shd w:val="clear" w:color="auto" w:fill="ECECEC"/>
          </w:tcPr>
          <w:p>
            <w:pPr>
              <w:spacing w:after="0"/>
              <w:rPr>
                <w:sz w:val="20"/>
                <w:szCs w:val="20"/>
                <w:color w:val="auto"/>
              </w:rPr>
            </w:pP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10,317</w:t>
            </w:r>
          </w:p>
        </w:tc>
        <w:tc>
          <w:tcPr>
            <w:tcW w:w="180" w:type="dxa"/>
            <w:vAlign w:val="bottom"/>
            <w:tcBorders>
              <w:bottom w:val="single" w:sz="8" w:color="auto"/>
            </w:tcBorders>
            <w:shd w:val="clear" w:color="auto" w:fill="ECECEC"/>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18,685</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21,440</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40,275</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29,762</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23,780</w:t>
            </w: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19,723</w:t>
            </w: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3,491</w:t>
            </w:r>
          </w:p>
        </w:tc>
        <w:tc>
          <w:tcPr>
            <w:tcW w:w="0" w:type="dxa"/>
            <w:vAlign w:val="bottom"/>
          </w:tcPr>
          <w:p>
            <w:pPr>
              <w:spacing w:after="0"/>
              <w:rPr>
                <w:sz w:val="1"/>
                <w:szCs w:val="1"/>
                <w:color w:val="auto"/>
              </w:rPr>
            </w:pPr>
          </w:p>
        </w:tc>
      </w:tr>
      <w:tr>
        <w:trPr>
          <w:trHeight w:val="243"/>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00" w:type="dxa"/>
            <w:vAlign w:val="bottom"/>
            <w:tcBorders>
              <w:bottom w:val="single" w:sz="8" w:color="auto"/>
            </w:tcBorders>
            <w:shd w:val="clear" w:color="auto" w:fill="ECECEC"/>
          </w:tcPr>
          <w:p>
            <w:pPr>
              <w:spacing w:after="0"/>
              <w:rPr>
                <w:sz w:val="21"/>
                <w:szCs w:val="21"/>
                <w:color w:val="auto"/>
              </w:rPr>
            </w:pP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8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65%</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BTC mining industry experiences volatility, it is typically not subject to seasonality. Seasonal fluctuations in electricity supply, however, may impact the Company’s operations. The majority of the Company’s operations during the above periods were in Quebec, where power was sourced directly from Hydro-Quebec, Hydro-Magog and Hydro-Sherbrooke. The Company also had operations in Washington state which were powered by the Grant County Power Utility District and had operations in Paraguay which were powered by Compañia de Luz y Fuerza S.A. In Q3 2022, the Company began operations in Argentina, which were temporarily connected to the power grid until the private power producer obtains approval of its permit. Among other phenomena, changing weather in Quebec, Washington state, Paraguay or Argentina may impact seasonal electricity needs, and periods of extreme cold or extreme hot weather may contribute to service interruptions in cryptocurrency mining operations. The Company’s geographical diversification reduces the risk and extent of extreme weather unduly affecting the Company’s overall performance.</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Q3 2022 details, refer to the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i w:val="1"/>
          <w:iCs w:val="1"/>
          <w:color w:val="auto"/>
        </w:rPr>
        <w:t>Cash Flows</w:t>
      </w:r>
      <w:r>
        <w:rPr>
          <w:rFonts w:ascii="Times New Roman" w:cs="Times New Roman" w:eastAsia="Times New Roman" w:hAnsi="Times New Roman"/>
          <w:sz w:val="18"/>
          <w:szCs w:val="18"/>
          <w:color w:val="auto"/>
        </w:rPr>
        <w:t xml:space="preserve"> included in the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section and </w:t>
      </w:r>
      <w:r>
        <w:rPr>
          <w:rFonts w:ascii="Times New Roman" w:cs="Times New Roman" w:eastAsia="Times New Roman" w:hAnsi="Times New Roman"/>
          <w:sz w:val="18"/>
          <w:szCs w:val="18"/>
          <w:i w:val="1"/>
          <w:iCs w:val="1"/>
          <w:color w:val="auto"/>
        </w:rPr>
        <w:t>Washington Expansion,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Paraguay Expansion and Argentina Expansion </w:t>
      </w:r>
      <w:r>
        <w:rPr>
          <w:rFonts w:ascii="Times New Roman" w:cs="Times New Roman" w:eastAsia="Times New Roman" w:hAnsi="Times New Roman"/>
          <w:sz w:val="18"/>
          <w:szCs w:val="18"/>
          <w:color w:val="auto"/>
        </w:rPr>
        <w:t>included in the</w:t>
      </w:r>
      <w:r>
        <w:rPr>
          <w:rFonts w:ascii="Times New Roman" w:cs="Times New Roman" w:eastAsia="Times New Roman" w:hAnsi="Times New Roman"/>
          <w:sz w:val="18"/>
          <w:szCs w:val="18"/>
          <w:i w:val="1"/>
          <w:iCs w:val="1"/>
          <w:color w:val="auto"/>
        </w:rPr>
        <w:t xml:space="preserve"> Capital Resources </w:t>
      </w:r>
      <w:r>
        <w:rPr>
          <w:rFonts w:ascii="Times New Roman" w:cs="Times New Roman" w:eastAsia="Times New Roman" w:hAnsi="Times New Roman"/>
          <w:sz w:val="18"/>
          <w:szCs w:val="18"/>
          <w:color w:val="auto"/>
        </w:rPr>
        <w:t>section of the MD&amp;A.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0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Non-IFRS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utilizes a number of non-IFRS measures in assessing operating performance. Non-IFRS financial performance measures exclude the impact of certain items and are used internally when analyzing operating performance. Please refer to the “Caution Regarding Non-IFRS Financial Performance Measures” section of this MD&amp;A for more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Consolidated Net Income (loss) to EBITDA and Adjusted 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right w:val="single" w:sz="8" w:color="ECECEC"/>
            </w:tcBorders>
          </w:tcPr>
          <w:p>
            <w:pPr>
              <w:spacing w:after="0"/>
              <w:rPr>
                <w:sz w:val="20"/>
                <w:szCs w:val="20"/>
                <w:color w:val="auto"/>
              </w:rPr>
            </w:pPr>
          </w:p>
        </w:tc>
        <w:tc>
          <w:tcPr>
            <w:tcW w:w="6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shd w:val="clear" w:color="auto" w:fill="ECECEC"/>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080" w:type="dxa"/>
            <w:vAlign w:val="bottom"/>
            <w:tcBorders>
              <w:bottom w:val="single" w:sz="8" w:color="auto"/>
              <w:right w:val="single" w:sz="8" w:color="ECECEC"/>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 Change</w:t>
            </w: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auto"/>
            </w:tcBorders>
            <w:shd w:val="clear" w:color="auto" w:fill="ECECEC"/>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right w:val="single" w:sz="8" w:color="ECECEC"/>
            </w:tcBorders>
          </w:tcPr>
          <w:p>
            <w:pPr>
              <w:spacing w:after="0"/>
              <w:rPr>
                <w:sz w:val="20"/>
                <w:szCs w:val="20"/>
                <w:color w:val="auto"/>
              </w:rPr>
            </w:pPr>
          </w:p>
        </w:tc>
        <w:tc>
          <w:tcPr>
            <w:tcW w:w="640" w:type="dxa"/>
            <w:vAlign w:val="bottom"/>
            <w:tcBorders>
              <w:bottom w:val="single" w:sz="8" w:color="auto"/>
            </w:tcBorders>
            <w:shd w:val="clear" w:color="auto" w:fill="ECECEC"/>
          </w:tcPr>
          <w:p>
            <w:pPr>
              <w:spacing w:after="0"/>
              <w:rPr>
                <w:sz w:val="20"/>
                <w:szCs w:val="20"/>
                <w:color w:val="auto"/>
              </w:rPr>
            </w:pPr>
          </w:p>
        </w:tc>
        <w:tc>
          <w:tcPr>
            <w:tcW w:w="200" w:type="dxa"/>
            <w:vAlign w:val="bottom"/>
            <w:tcBorders>
              <w:bottom w:val="single" w:sz="8" w:color="auto"/>
            </w:tcBorders>
            <w:shd w:val="clear" w:color="auto" w:fill="ECECEC"/>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ECECEC"/>
            </w:tcBorders>
          </w:tcPr>
          <w:p>
            <w:pPr>
              <w:spacing w:after="0"/>
              <w:rPr>
                <w:sz w:val="20"/>
                <w:szCs w:val="20"/>
                <w:color w:val="auto"/>
              </w:rPr>
            </w:pPr>
          </w:p>
        </w:tc>
        <w:tc>
          <w:tcPr>
            <w:tcW w:w="660" w:type="dxa"/>
            <w:vAlign w:val="bottom"/>
            <w:tcBorders>
              <w:bottom w:val="single" w:sz="8" w:color="auto"/>
            </w:tcBorders>
            <w:shd w:val="clear" w:color="auto" w:fill="ECECEC"/>
          </w:tcPr>
          <w:p>
            <w:pPr>
              <w:spacing w:after="0"/>
              <w:rPr>
                <w:sz w:val="20"/>
                <w:szCs w:val="20"/>
                <w:color w:val="auto"/>
              </w:rPr>
            </w:pPr>
          </w:p>
        </w:tc>
        <w:tc>
          <w:tcPr>
            <w:tcW w:w="200" w:type="dxa"/>
            <w:vAlign w:val="bottom"/>
            <w:tcBorders>
              <w:bottom w:val="single" w:sz="8" w:color="auto"/>
            </w:tcBorders>
            <w:shd w:val="clear" w:color="auto" w:fill="ECECEC"/>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6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33,247</w:t>
            </w:r>
          </w:p>
        </w:tc>
        <w:tc>
          <w:tcPr>
            <w:tcW w:w="200" w:type="dxa"/>
            <w:vAlign w:val="bottom"/>
            <w:tcBorders>
              <w:bottom w:val="single" w:sz="8" w:color="auto"/>
            </w:tcBorders>
            <w:shd w:val="clear" w:color="auto" w:fill="ECECEC"/>
          </w:tcPr>
          <w:p>
            <w:pPr>
              <w:spacing w:after="0"/>
              <w:rPr>
                <w:sz w:val="20"/>
                <w:szCs w:val="20"/>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44,774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080" w:type="dxa"/>
            <w:vAlign w:val="bottom"/>
            <w:tcBorders>
              <w:bottom w:val="single" w:sz="8" w:color="auto"/>
              <w:right w:val="single" w:sz="8" w:color="ECECEC"/>
            </w:tcBorders>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115,391</w:t>
            </w:r>
          </w:p>
        </w:tc>
        <w:tc>
          <w:tcPr>
            <w:tcW w:w="200" w:type="dxa"/>
            <w:vAlign w:val="bottom"/>
            <w:tcBorders>
              <w:bottom w:val="single" w:sz="8" w:color="auto"/>
            </w:tcBorders>
            <w:shd w:val="clear" w:color="auto" w:fill="ECECEC"/>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109,893</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5,498</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auto"/>
              <w:right w:val="single" w:sz="8" w:color="ECECEC"/>
            </w:tcBorders>
          </w:tcPr>
          <w:p>
            <w:pPr>
              <w:spacing w:after="0"/>
              <w:rPr>
                <w:sz w:val="20"/>
                <w:szCs w:val="20"/>
                <w:color w:val="auto"/>
              </w:rPr>
            </w:pPr>
          </w:p>
        </w:tc>
        <w:tc>
          <w:tcPr>
            <w:tcW w:w="640" w:type="dxa"/>
            <w:vAlign w:val="bottom"/>
            <w:tcBorders>
              <w:bottom w:val="single" w:sz="8" w:color="auto"/>
            </w:tcBorders>
            <w:shd w:val="clear" w:color="auto" w:fill="ECECEC"/>
          </w:tcPr>
          <w:p>
            <w:pPr>
              <w:spacing w:after="0"/>
              <w:rPr>
                <w:sz w:val="20"/>
                <w:szCs w:val="20"/>
                <w:color w:val="auto"/>
              </w:rPr>
            </w:pPr>
          </w:p>
        </w:tc>
        <w:tc>
          <w:tcPr>
            <w:tcW w:w="200" w:type="dxa"/>
            <w:vAlign w:val="bottom"/>
            <w:tcBorders>
              <w:bottom w:val="single" w:sz="8" w:color="auto"/>
            </w:tcBorders>
            <w:shd w:val="clear" w:color="auto" w:fill="ECECEC"/>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ECECEC"/>
            </w:tcBorders>
          </w:tcPr>
          <w:p>
            <w:pPr>
              <w:spacing w:after="0"/>
              <w:rPr>
                <w:sz w:val="20"/>
                <w:szCs w:val="20"/>
                <w:color w:val="auto"/>
              </w:rPr>
            </w:pPr>
          </w:p>
        </w:tc>
        <w:tc>
          <w:tcPr>
            <w:tcW w:w="660" w:type="dxa"/>
            <w:vAlign w:val="bottom"/>
            <w:tcBorders>
              <w:bottom w:val="single" w:sz="8" w:color="auto"/>
            </w:tcBorders>
            <w:shd w:val="clear" w:color="auto" w:fill="ECECEC"/>
          </w:tcPr>
          <w:p>
            <w:pPr>
              <w:spacing w:after="0"/>
              <w:rPr>
                <w:sz w:val="20"/>
                <w:szCs w:val="20"/>
                <w:color w:val="auto"/>
              </w:rPr>
            </w:pPr>
          </w:p>
        </w:tc>
        <w:tc>
          <w:tcPr>
            <w:tcW w:w="200" w:type="dxa"/>
            <w:vAlign w:val="bottom"/>
            <w:tcBorders>
              <w:bottom w:val="single" w:sz="8" w:color="auto"/>
            </w:tcBorders>
            <w:shd w:val="clear" w:color="auto" w:fill="ECECEC"/>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income taxes</w:t>
            </w:r>
          </w:p>
        </w:tc>
        <w:tc>
          <w:tcPr>
            <w:tcW w:w="6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(89,533</w:t>
            </w:r>
          </w:p>
        </w:tc>
        <w:tc>
          <w:tcPr>
            <w:tcW w:w="20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34,706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(124,239)</w:t>
            </w:r>
          </w:p>
        </w:tc>
        <w:tc>
          <w:tcPr>
            <w:tcW w:w="1080" w:type="dxa"/>
            <w:vAlign w:val="bottom"/>
            <w:tcBorders>
              <w:bottom w:val="single" w:sz="8" w:color="auto"/>
              <w:right w:val="single" w:sz="8" w:color="ECECEC"/>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w:t>
            </w: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(239,810</w:t>
            </w:r>
          </w:p>
        </w:tc>
        <w:tc>
          <w:tcPr>
            <w:tcW w:w="200" w:type="dxa"/>
            <w:vAlign w:val="bottom"/>
            <w:tcBorders>
              <w:bottom w:val="single" w:sz="8" w:color="auto"/>
            </w:tcBorders>
            <w:shd w:val="clear" w:color="auto" w:fill="ECECE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24,700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(264,510)</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191"/>
        </w:trPr>
        <w:tc>
          <w:tcPr>
            <w:tcW w:w="3900" w:type="dxa"/>
            <w:vAlign w:val="bottom"/>
            <w:tcBorders>
              <w:right w:val="single" w:sz="8" w:color="ECECEC"/>
            </w:tcBorders>
          </w:tcPr>
          <w:p>
            <w:pPr>
              <w:spacing w:after="0" w:line="191" w:lineRule="exact"/>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shd w:val="clear" w:color="auto" w:fill="ECECEC"/>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3,394</w:t>
            </w:r>
          </w:p>
        </w:tc>
        <w:tc>
          <w:tcPr>
            <w:tcW w:w="200" w:type="dxa"/>
            <w:vAlign w:val="bottom"/>
            <w:shd w:val="clear" w:color="auto" w:fill="ECECEC"/>
          </w:tcPr>
          <w:p>
            <w:pPr>
              <w:spacing w:after="0"/>
              <w:rPr>
                <w:sz w:val="16"/>
                <w:szCs w:val="16"/>
                <w:color w:val="auto"/>
              </w:rPr>
            </w:pPr>
          </w:p>
        </w:tc>
        <w:tc>
          <w:tcPr>
            <w:tcW w:w="94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788</w:t>
            </w:r>
          </w:p>
        </w:tc>
        <w:tc>
          <w:tcPr>
            <w:tcW w:w="8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2,606</w:t>
            </w:r>
          </w:p>
        </w:tc>
        <w:tc>
          <w:tcPr>
            <w:tcW w:w="1080" w:type="dxa"/>
            <w:vAlign w:val="bottom"/>
            <w:tcBorders>
              <w:right w:val="single" w:sz="8" w:color="ECECEC"/>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331%</w:t>
            </w:r>
          </w:p>
        </w:tc>
        <w:tc>
          <w:tcPr>
            <w:tcW w:w="660" w:type="dxa"/>
            <w:vAlign w:val="bottom"/>
            <w:shd w:val="clear" w:color="auto" w:fill="ECECEC"/>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10,950</w:t>
            </w:r>
          </w:p>
        </w:tc>
        <w:tc>
          <w:tcPr>
            <w:tcW w:w="200" w:type="dxa"/>
            <w:vAlign w:val="bottom"/>
            <w:shd w:val="clear" w:color="auto" w:fill="ECECEC"/>
          </w:tcPr>
          <w:p>
            <w:pPr>
              <w:spacing w:after="0"/>
              <w:rPr>
                <w:sz w:val="16"/>
                <w:szCs w:val="16"/>
                <w:color w:val="auto"/>
              </w:rPr>
            </w:pPr>
          </w:p>
        </w:tc>
        <w:tc>
          <w:tcPr>
            <w:tcW w:w="9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2,583</w:t>
            </w:r>
          </w:p>
        </w:tc>
        <w:tc>
          <w:tcPr>
            <w:tcW w:w="84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8,367</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61"/>
        </w:trPr>
        <w:tc>
          <w:tcPr>
            <w:tcW w:w="390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6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20,720</w:t>
            </w:r>
          </w:p>
        </w:tc>
        <w:tc>
          <w:tcPr>
            <w:tcW w:w="200" w:type="dxa"/>
            <w:vAlign w:val="bottom"/>
            <w:tcBorders>
              <w:bottom w:val="single" w:sz="8" w:color="auto"/>
            </w:tcBorders>
            <w:shd w:val="clear" w:color="auto" w:fill="ECECEC"/>
          </w:tcPr>
          <w:p>
            <w:pPr>
              <w:spacing w:after="0"/>
              <w:rPr>
                <w:sz w:val="22"/>
                <w:szCs w:val="22"/>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6,261</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14,459</w:t>
            </w:r>
          </w:p>
        </w:tc>
        <w:tc>
          <w:tcPr>
            <w:tcW w:w="1080" w:type="dxa"/>
            <w:vAlign w:val="bottom"/>
            <w:tcBorders>
              <w:bottom w:val="single" w:sz="8" w:color="auto"/>
              <w:right w:val="single" w:sz="8" w:color="ECECEC"/>
            </w:tcBorders>
          </w:tcPr>
          <w:p>
            <w:pPr>
              <w:jc w:val="right"/>
              <w:ind w:right="70"/>
              <w:spacing w:after="0"/>
              <w:rPr>
                <w:sz w:val="20"/>
                <w:szCs w:val="20"/>
                <w:color w:val="auto"/>
              </w:rPr>
            </w:pPr>
            <w:r>
              <w:rPr>
                <w:rFonts w:ascii="Times New Roman" w:cs="Times New Roman" w:eastAsia="Times New Roman" w:hAnsi="Times New Roman"/>
                <w:sz w:val="18"/>
                <w:szCs w:val="18"/>
                <w:color w:val="auto"/>
              </w:rPr>
              <w:t>231%</w:t>
            </w: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51,643</w:t>
            </w:r>
          </w:p>
        </w:tc>
        <w:tc>
          <w:tcPr>
            <w:tcW w:w="200" w:type="dxa"/>
            <w:vAlign w:val="bottom"/>
            <w:tcBorders>
              <w:bottom w:val="single" w:sz="8" w:color="auto"/>
            </w:tcBorders>
            <w:shd w:val="clear" w:color="auto" w:fill="ECECEC"/>
          </w:tcPr>
          <w:p>
            <w:pPr>
              <w:spacing w:after="0"/>
              <w:rPr>
                <w:sz w:val="22"/>
                <w:szCs w:val="22"/>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14,189</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37,454</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37"/>
        </w:trPr>
        <w:tc>
          <w:tcPr>
            <w:tcW w:w="390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6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(65,419</w:t>
            </w:r>
          </w:p>
        </w:tc>
        <w:tc>
          <w:tcPr>
            <w:tcW w:w="200" w:type="dxa"/>
            <w:vAlign w:val="bottom"/>
            <w:tcBorders>
              <w:bottom w:val="single" w:sz="8" w:color="auto"/>
            </w:tcBorders>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41,755</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(107,174)</w:t>
            </w:r>
          </w:p>
        </w:tc>
        <w:tc>
          <w:tcPr>
            <w:tcW w:w="1080" w:type="dxa"/>
            <w:vAlign w:val="bottom"/>
            <w:tcBorders>
              <w:bottom w:val="single" w:sz="8" w:color="auto"/>
              <w:right w:val="single" w:sz="8" w:color="ECECEC"/>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(177,217</w:t>
            </w:r>
          </w:p>
        </w:tc>
        <w:tc>
          <w:tcPr>
            <w:tcW w:w="200" w:type="dxa"/>
            <w:vAlign w:val="bottom"/>
            <w:tcBorders>
              <w:bottom w:val="single" w:sz="8" w:color="auto"/>
            </w:tcBorders>
            <w:shd w:val="clear" w:color="auto" w:fill="ECECE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41,472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(218,689)</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(527)%</w:t>
            </w:r>
          </w:p>
        </w:tc>
        <w:tc>
          <w:tcPr>
            <w:tcW w:w="0" w:type="dxa"/>
            <w:vAlign w:val="bottom"/>
          </w:tcPr>
          <w:p>
            <w:pPr>
              <w:spacing w:after="0"/>
              <w:rPr>
                <w:sz w:val="1"/>
                <w:szCs w:val="1"/>
                <w:color w:val="auto"/>
              </w:rPr>
            </w:pPr>
          </w:p>
        </w:tc>
      </w:tr>
      <w:tr>
        <w:trPr>
          <w:trHeight w:val="187"/>
        </w:trPr>
        <w:tc>
          <w:tcPr>
            <w:tcW w:w="3900" w:type="dxa"/>
            <w:vAlign w:val="bottom"/>
            <w:tcBorders>
              <w:right w:val="single" w:sz="8" w:color="ECECEC"/>
            </w:tcBorders>
          </w:tcPr>
          <w:p>
            <w:pPr>
              <w:spacing w:after="0" w:line="188" w:lineRule="exact"/>
              <w:rPr>
                <w:sz w:val="20"/>
                <w:szCs w:val="20"/>
                <w:color w:val="auto"/>
              </w:rPr>
            </w:pPr>
            <w:r>
              <w:rPr>
                <w:rFonts w:ascii="Times New Roman" w:cs="Times New Roman" w:eastAsia="Times New Roman" w:hAnsi="Times New Roman"/>
                <w:sz w:val="18"/>
                <w:szCs w:val="18"/>
                <w:color w:val="auto"/>
              </w:rPr>
              <w:t>Share-based payment</w:t>
            </w:r>
          </w:p>
        </w:tc>
        <w:tc>
          <w:tcPr>
            <w:tcW w:w="640" w:type="dxa"/>
            <w:vAlign w:val="bottom"/>
            <w:shd w:val="clear" w:color="auto" w:fill="ECECE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3,961</w:t>
            </w:r>
          </w:p>
        </w:tc>
        <w:tc>
          <w:tcPr>
            <w:tcW w:w="200" w:type="dxa"/>
            <w:vAlign w:val="bottom"/>
            <w:shd w:val="clear" w:color="auto" w:fill="ECECEC"/>
          </w:tcPr>
          <w:p>
            <w:pPr>
              <w:spacing w:after="0"/>
              <w:rPr>
                <w:sz w:val="16"/>
                <w:szCs w:val="16"/>
                <w:color w:val="auto"/>
              </w:rPr>
            </w:pPr>
          </w:p>
        </w:tc>
        <w:tc>
          <w:tcPr>
            <w:tcW w:w="94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color w:val="auto"/>
              </w:rPr>
              <w:t>5,787</w:t>
            </w:r>
          </w:p>
        </w:tc>
        <w:tc>
          <w:tcPr>
            <w:tcW w:w="8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(1,826)</w:t>
            </w:r>
          </w:p>
        </w:tc>
        <w:tc>
          <w:tcPr>
            <w:tcW w:w="1080" w:type="dxa"/>
            <w:vAlign w:val="bottom"/>
            <w:tcBorders>
              <w:right w:val="single" w:sz="8" w:color="ECECEC"/>
            </w:tcBorders>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(32)%</w:t>
            </w:r>
          </w:p>
        </w:tc>
        <w:tc>
          <w:tcPr>
            <w:tcW w:w="660" w:type="dxa"/>
            <w:vAlign w:val="bottom"/>
            <w:shd w:val="clear" w:color="auto" w:fill="ECECEC"/>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17,993</w:t>
            </w:r>
          </w:p>
        </w:tc>
        <w:tc>
          <w:tcPr>
            <w:tcW w:w="200" w:type="dxa"/>
            <w:vAlign w:val="bottom"/>
            <w:shd w:val="clear" w:color="auto" w:fill="ECECEC"/>
          </w:tcPr>
          <w:p>
            <w:pPr>
              <w:spacing w:after="0"/>
              <w:rPr>
                <w:sz w:val="16"/>
                <w:szCs w:val="16"/>
                <w:color w:val="auto"/>
              </w:rPr>
            </w:pPr>
          </w:p>
        </w:tc>
        <w:tc>
          <w:tcPr>
            <w:tcW w:w="960" w:type="dxa"/>
            <w:vAlign w:val="bottom"/>
          </w:tcPr>
          <w:p>
            <w:pPr>
              <w:jc w:val="right"/>
              <w:ind w:right="110"/>
              <w:spacing w:after="0" w:line="188" w:lineRule="exact"/>
              <w:rPr>
                <w:sz w:val="20"/>
                <w:szCs w:val="20"/>
                <w:color w:val="auto"/>
              </w:rPr>
            </w:pPr>
            <w:r>
              <w:rPr>
                <w:rFonts w:ascii="Times New Roman" w:cs="Times New Roman" w:eastAsia="Times New Roman" w:hAnsi="Times New Roman"/>
                <w:sz w:val="18"/>
                <w:szCs w:val="18"/>
                <w:color w:val="auto"/>
              </w:rPr>
              <w:t>12,549</w:t>
            </w:r>
          </w:p>
        </w:tc>
        <w:tc>
          <w:tcPr>
            <w:tcW w:w="84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5,444</w:t>
            </w:r>
          </w:p>
        </w:tc>
        <w:tc>
          <w:tcPr>
            <w:tcW w:w="9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0"/>
        </w:trPr>
        <w:tc>
          <w:tcPr>
            <w:tcW w:w="390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Realized loss on disposition of digital assets</w:t>
            </w:r>
          </w:p>
        </w:tc>
        <w:tc>
          <w:tcPr>
            <w:tcW w:w="6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44,329</w:t>
            </w:r>
          </w:p>
        </w:tc>
        <w:tc>
          <w:tcPr>
            <w:tcW w:w="200" w:type="dxa"/>
            <w:vAlign w:val="bottom"/>
            <w:shd w:val="clear" w:color="auto" w:fill="ECECEC"/>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177</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44,152</w:t>
            </w:r>
          </w:p>
        </w:tc>
        <w:tc>
          <w:tcPr>
            <w:tcW w:w="1080" w:type="dxa"/>
            <w:vAlign w:val="bottom"/>
            <w:tcBorders>
              <w:right w:val="single" w:sz="8" w:color="ECECEC"/>
            </w:tcBorders>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nm</w:t>
            </w:r>
          </w:p>
        </w:tc>
        <w:tc>
          <w:tcPr>
            <w:tcW w:w="6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122,243</w:t>
            </w:r>
          </w:p>
        </w:tc>
        <w:tc>
          <w:tcPr>
            <w:tcW w:w="200" w:type="dxa"/>
            <w:vAlign w:val="bottom"/>
            <w:shd w:val="clear" w:color="auto" w:fill="ECECEC"/>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152</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122,091</w:t>
            </w:r>
          </w:p>
        </w:tc>
        <w:tc>
          <w:tcPr>
            <w:tcW w:w="980" w:type="dxa"/>
            <w:vAlign w:val="bottom"/>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90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Change in unrealized (gain) loss on revaluation of</w:t>
            </w:r>
          </w:p>
        </w:tc>
        <w:tc>
          <w:tcPr>
            <w:tcW w:w="64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(45,655)</w:t>
            </w:r>
          </w:p>
        </w:tc>
        <w:tc>
          <w:tcPr>
            <w:tcW w:w="200" w:type="dxa"/>
            <w:vAlign w:val="bottom"/>
            <w:shd w:val="clear" w:color="auto" w:fill="ECECEC"/>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Borders>
              <w:right w:val="single" w:sz="8" w:color="ECECEC"/>
            </w:tcBorders>
          </w:tcPr>
          <w:p>
            <w:pPr>
              <w:spacing w:after="0"/>
              <w:rPr>
                <w:sz w:val="18"/>
                <w:szCs w:val="18"/>
                <w:color w:val="auto"/>
              </w:rPr>
            </w:pPr>
          </w:p>
        </w:tc>
        <w:tc>
          <w:tcPr>
            <w:tcW w:w="6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21,118</w:t>
            </w:r>
          </w:p>
        </w:tc>
        <w:tc>
          <w:tcPr>
            <w:tcW w:w="200" w:type="dxa"/>
            <w:vAlign w:val="bottom"/>
            <w:shd w:val="clear" w:color="auto" w:fill="ECECEC"/>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16"/>
        </w:trPr>
        <w:tc>
          <w:tcPr>
            <w:tcW w:w="390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digital assets</w:t>
            </w:r>
          </w:p>
        </w:tc>
        <w:tc>
          <w:tcPr>
            <w:tcW w:w="640" w:type="dxa"/>
            <w:vAlign w:val="bottom"/>
            <w:vMerge w:val="continue"/>
            <w:shd w:val="clear" w:color="auto" w:fill="ECECEC"/>
          </w:tcPr>
          <w:p>
            <w:pPr>
              <w:spacing w:after="0"/>
              <w:rPr>
                <w:sz w:val="18"/>
                <w:szCs w:val="18"/>
                <w:color w:val="auto"/>
              </w:rPr>
            </w:pPr>
          </w:p>
        </w:tc>
        <w:tc>
          <w:tcPr>
            <w:tcW w:w="200" w:type="dxa"/>
            <w:vAlign w:val="bottom"/>
            <w:shd w:val="clear" w:color="auto" w:fill="ECECEC"/>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(13,893)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(31,762)</w:t>
            </w:r>
          </w:p>
        </w:tc>
        <w:tc>
          <w:tcPr>
            <w:tcW w:w="1080" w:type="dxa"/>
            <w:vAlign w:val="bottom"/>
            <w:tcBorders>
              <w:right w:val="single" w:sz="8" w:color="ECECEC"/>
            </w:tcBorders>
          </w:tcPr>
          <w:p>
            <w:pPr>
              <w:jc w:val="right"/>
              <w:ind w:right="70"/>
              <w:spacing w:after="0"/>
              <w:rPr>
                <w:sz w:val="20"/>
                <w:szCs w:val="20"/>
                <w:color w:val="auto"/>
              </w:rPr>
            </w:pPr>
            <w:r>
              <w:rPr>
                <w:rFonts w:ascii="Times New Roman" w:cs="Times New Roman" w:eastAsia="Times New Roman" w:hAnsi="Times New Roman"/>
                <w:sz w:val="18"/>
                <w:szCs w:val="18"/>
                <w:color w:val="auto"/>
              </w:rPr>
              <w:t>229%</w:t>
            </w:r>
          </w:p>
        </w:tc>
        <w:tc>
          <w:tcPr>
            <w:tcW w:w="660" w:type="dxa"/>
            <w:vAlign w:val="bottom"/>
            <w:vMerge w:val="continue"/>
            <w:shd w:val="clear" w:color="auto" w:fill="ECECEC"/>
          </w:tcPr>
          <w:p>
            <w:pPr>
              <w:spacing w:after="0"/>
              <w:rPr>
                <w:sz w:val="18"/>
                <w:szCs w:val="18"/>
                <w:color w:val="auto"/>
              </w:rPr>
            </w:pPr>
          </w:p>
        </w:tc>
        <w:tc>
          <w:tcPr>
            <w:tcW w:w="200" w:type="dxa"/>
            <w:vAlign w:val="bottom"/>
            <w:shd w:val="clear" w:color="auto" w:fill="ECECEC"/>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992</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20,126</w:t>
            </w: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Impairment on equipment and construction</w:t>
            </w:r>
          </w:p>
        </w:tc>
        <w:tc>
          <w:tcPr>
            <w:tcW w:w="640" w:type="dxa"/>
            <w:vAlign w:val="bottom"/>
            <w:shd w:val="clear" w:color="auto" w:fill="ECECEC"/>
          </w:tcPr>
          <w:p>
            <w:pPr>
              <w:spacing w:after="0"/>
              <w:rPr>
                <w:sz w:val="18"/>
                <w:szCs w:val="18"/>
                <w:color w:val="auto"/>
              </w:rPr>
            </w:pPr>
          </w:p>
        </w:tc>
        <w:tc>
          <w:tcPr>
            <w:tcW w:w="200" w:type="dxa"/>
            <w:vAlign w:val="bottom"/>
            <w:shd w:val="clear" w:color="auto" w:fill="ECECEC"/>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Borders>
              <w:right w:val="single" w:sz="8" w:color="ECECEC"/>
            </w:tcBorders>
          </w:tcPr>
          <w:p>
            <w:pPr>
              <w:spacing w:after="0"/>
              <w:rPr>
                <w:sz w:val="18"/>
                <w:szCs w:val="18"/>
                <w:color w:val="auto"/>
              </w:rPr>
            </w:pPr>
          </w:p>
        </w:tc>
        <w:tc>
          <w:tcPr>
            <w:tcW w:w="660" w:type="dxa"/>
            <w:vAlign w:val="bottom"/>
            <w:shd w:val="clear" w:color="auto" w:fill="ECECEC"/>
          </w:tcPr>
          <w:p>
            <w:pPr>
              <w:spacing w:after="0"/>
              <w:rPr>
                <w:sz w:val="18"/>
                <w:szCs w:val="18"/>
                <w:color w:val="auto"/>
              </w:rPr>
            </w:pPr>
          </w:p>
        </w:tc>
        <w:tc>
          <w:tcPr>
            <w:tcW w:w="200" w:type="dxa"/>
            <w:vAlign w:val="bottom"/>
            <w:shd w:val="clear" w:color="auto" w:fill="ECECEC"/>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prepayments, property, plant and equipment and</w:t>
            </w:r>
          </w:p>
        </w:tc>
        <w:tc>
          <w:tcPr>
            <w:tcW w:w="64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84,116</w:t>
            </w:r>
          </w:p>
        </w:tc>
        <w:tc>
          <w:tcPr>
            <w:tcW w:w="200" w:type="dxa"/>
            <w:vAlign w:val="bottom"/>
            <w:shd w:val="clear" w:color="auto" w:fill="ECECEC"/>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Borders>
              <w:right w:val="single" w:sz="8" w:color="ECECEC"/>
            </w:tcBorders>
          </w:tcPr>
          <w:p>
            <w:pPr>
              <w:spacing w:after="0"/>
              <w:rPr>
                <w:sz w:val="18"/>
                <w:szCs w:val="18"/>
                <w:color w:val="auto"/>
              </w:rPr>
            </w:pPr>
          </w:p>
        </w:tc>
        <w:tc>
          <w:tcPr>
            <w:tcW w:w="6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84,116</w:t>
            </w:r>
          </w:p>
        </w:tc>
        <w:tc>
          <w:tcPr>
            <w:tcW w:w="200" w:type="dxa"/>
            <w:vAlign w:val="bottom"/>
            <w:shd w:val="clear" w:color="auto" w:fill="ECECEC"/>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0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640" w:type="dxa"/>
            <w:vAlign w:val="bottom"/>
            <w:vMerge w:val="continue"/>
            <w:shd w:val="clear" w:color="auto" w:fill="ECECEC"/>
          </w:tcPr>
          <w:p>
            <w:pPr>
              <w:spacing w:after="0"/>
              <w:rPr>
                <w:sz w:val="18"/>
                <w:szCs w:val="18"/>
                <w:color w:val="auto"/>
              </w:rPr>
            </w:pPr>
          </w:p>
        </w:tc>
        <w:tc>
          <w:tcPr>
            <w:tcW w:w="200" w:type="dxa"/>
            <w:vAlign w:val="bottom"/>
            <w:shd w:val="clear" w:color="auto" w:fill="ECECEC"/>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84,116</w:t>
            </w:r>
          </w:p>
        </w:tc>
        <w:tc>
          <w:tcPr>
            <w:tcW w:w="1080" w:type="dxa"/>
            <w:vAlign w:val="bottom"/>
            <w:tcBorders>
              <w:right w:val="single" w:sz="8" w:color="ECECEC"/>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vMerge w:val="continue"/>
            <w:shd w:val="clear" w:color="auto" w:fill="ECECEC"/>
          </w:tcPr>
          <w:p>
            <w:pPr>
              <w:spacing w:after="0"/>
              <w:rPr>
                <w:sz w:val="18"/>
                <w:szCs w:val="18"/>
                <w:color w:val="auto"/>
              </w:rPr>
            </w:pPr>
          </w:p>
        </w:tc>
        <w:tc>
          <w:tcPr>
            <w:tcW w:w="200" w:type="dxa"/>
            <w:vAlign w:val="bottom"/>
            <w:shd w:val="clear" w:color="auto" w:fill="ECECEC"/>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84,116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0"/>
        </w:trPr>
        <w:tc>
          <w:tcPr>
            <w:tcW w:w="390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Impairment on goodwill</w:t>
            </w:r>
          </w:p>
        </w:tc>
        <w:tc>
          <w:tcPr>
            <w:tcW w:w="6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ECECEC"/>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ECECEC"/>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17,900</w:t>
            </w:r>
          </w:p>
        </w:tc>
        <w:tc>
          <w:tcPr>
            <w:tcW w:w="200" w:type="dxa"/>
            <w:vAlign w:val="bottom"/>
            <w:shd w:val="clear" w:color="auto" w:fill="ECECEC"/>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17,900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390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Impairment reversal on property, plant and</w:t>
            </w:r>
          </w:p>
        </w:tc>
        <w:tc>
          <w:tcPr>
            <w:tcW w:w="64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ECECEC"/>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Borders>
              <w:right w:val="single" w:sz="8" w:color="ECECEC"/>
            </w:tcBorders>
          </w:tcPr>
          <w:p>
            <w:pPr>
              <w:spacing w:after="0"/>
              <w:rPr>
                <w:sz w:val="18"/>
                <w:szCs w:val="18"/>
                <w:color w:val="auto"/>
              </w:rPr>
            </w:pPr>
          </w:p>
        </w:tc>
        <w:tc>
          <w:tcPr>
            <w:tcW w:w="66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ECECEC"/>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equipment</w:t>
            </w:r>
          </w:p>
        </w:tc>
        <w:tc>
          <w:tcPr>
            <w:tcW w:w="640" w:type="dxa"/>
            <w:vAlign w:val="bottom"/>
            <w:vMerge w:val="continue"/>
            <w:shd w:val="clear" w:color="auto" w:fill="ECECEC"/>
          </w:tcPr>
          <w:p>
            <w:pPr>
              <w:spacing w:after="0"/>
              <w:rPr>
                <w:sz w:val="18"/>
                <w:szCs w:val="18"/>
                <w:color w:val="auto"/>
              </w:rPr>
            </w:pPr>
          </w:p>
        </w:tc>
        <w:tc>
          <w:tcPr>
            <w:tcW w:w="200" w:type="dxa"/>
            <w:vAlign w:val="bottom"/>
            <w:vMerge w:val="restart"/>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(1,860)</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w:t>
            </w:r>
          </w:p>
        </w:tc>
        <w:tc>
          <w:tcPr>
            <w:tcW w:w="1080" w:type="dxa"/>
            <w:vAlign w:val="bottom"/>
            <w:tcBorders>
              <w:right w:val="single" w:sz="8" w:color="ECECEC"/>
            </w:tcBorders>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vMerge w:val="continue"/>
            <w:shd w:val="clear" w:color="auto" w:fill="ECECEC"/>
          </w:tcPr>
          <w:p>
            <w:pPr>
              <w:spacing w:after="0"/>
              <w:rPr>
                <w:sz w:val="18"/>
                <w:szCs w:val="18"/>
                <w:color w:val="auto"/>
              </w:rPr>
            </w:pPr>
          </w:p>
        </w:tc>
        <w:tc>
          <w:tcPr>
            <w:tcW w:w="200" w:type="dxa"/>
            <w:vAlign w:val="bottom"/>
            <w:vMerge w:val="restart"/>
            <w:shd w:val="clear" w:color="auto" w:fill="ECECE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(1,860)</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1,860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61"/>
        </w:trPr>
        <w:tc>
          <w:tcPr>
            <w:tcW w:w="390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color w:val="auto"/>
              </w:rPr>
              <w:t>Net financial (income) expenses and other</w:t>
            </w:r>
          </w:p>
        </w:tc>
        <w:tc>
          <w:tcPr>
            <w:tcW w:w="6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(11,015</w:t>
            </w:r>
          </w:p>
        </w:tc>
        <w:tc>
          <w:tcPr>
            <w:tcW w:w="200" w:type="dxa"/>
            <w:vAlign w:val="bottom"/>
            <w:tcBorders>
              <w:bottom w:val="single" w:sz="8" w:color="auto"/>
            </w:tcBorders>
            <w:vMerge w:val="continue"/>
            <w:shd w:val="clear" w:color="auto" w:fill="ECECEC"/>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(2,204)</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w:t>
            </w:r>
          </w:p>
        </w:tc>
        <w:tc>
          <w:tcPr>
            <w:tcW w:w="1080" w:type="dxa"/>
            <w:vAlign w:val="bottom"/>
            <w:tcBorders>
              <w:bottom w:val="single" w:sz="8" w:color="auto"/>
              <w:right w:val="single" w:sz="8" w:color="ECECEC"/>
            </w:tcBorders>
          </w:tcPr>
          <w:p>
            <w:pPr>
              <w:jc w:val="right"/>
              <w:ind w:right="70"/>
              <w:spacing w:after="0"/>
              <w:rPr>
                <w:sz w:val="20"/>
                <w:szCs w:val="20"/>
                <w:color w:val="auto"/>
              </w:rPr>
            </w:pPr>
            <w:r>
              <w:rPr>
                <w:rFonts w:ascii="Times New Roman" w:cs="Times New Roman" w:eastAsia="Times New Roman" w:hAnsi="Times New Roman"/>
                <w:sz w:val="18"/>
                <w:szCs w:val="18"/>
                <w:color w:val="auto"/>
              </w:rPr>
              <w:t>400%</w:t>
            </w: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(35,711</w:t>
            </w:r>
          </w:p>
        </w:tc>
        <w:tc>
          <w:tcPr>
            <w:tcW w:w="200" w:type="dxa"/>
            <w:vAlign w:val="bottom"/>
            <w:tcBorders>
              <w:bottom w:val="single" w:sz="8" w:color="auto"/>
            </w:tcBorders>
            <w:vMerge w:val="continue"/>
            <w:shd w:val="clear" w:color="auto" w:fill="ECECEC"/>
          </w:tcPr>
          <w:p>
            <w:pPr>
              <w:spacing w:after="0"/>
              <w:rPr>
                <w:sz w:val="22"/>
                <w:szCs w:val="22"/>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19,960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(55,671)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191"/>
        </w:trPr>
        <w:tc>
          <w:tcPr>
            <w:tcW w:w="3900" w:type="dxa"/>
            <w:vAlign w:val="bottom"/>
            <w:tcBorders>
              <w:right w:val="single" w:sz="8" w:color="ECECE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Adjusted EBITDA</w:t>
            </w:r>
          </w:p>
        </w:tc>
        <w:tc>
          <w:tcPr>
            <w:tcW w:w="640" w:type="dxa"/>
            <w:vAlign w:val="bottom"/>
            <w:shd w:val="clear" w:color="auto" w:fill="ECECEC"/>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10,317</w:t>
            </w:r>
          </w:p>
        </w:tc>
        <w:tc>
          <w:tcPr>
            <w:tcW w:w="200" w:type="dxa"/>
            <w:vAlign w:val="bottom"/>
            <w:vMerge w:val="restart"/>
            <w:shd w:val="clear" w:color="auto" w:fill="ECECEC"/>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94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29,762</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(19,445)</w:t>
            </w:r>
          </w:p>
        </w:tc>
        <w:tc>
          <w:tcPr>
            <w:tcW w:w="1080" w:type="dxa"/>
            <w:vAlign w:val="bottom"/>
            <w:tcBorders>
              <w:right w:val="single" w:sz="8" w:color="ECECEC"/>
            </w:tcBorders>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(65)%</w:t>
            </w:r>
          </w:p>
        </w:tc>
        <w:tc>
          <w:tcPr>
            <w:tcW w:w="660" w:type="dxa"/>
            <w:vAlign w:val="bottom"/>
            <w:shd w:val="clear" w:color="auto" w:fill="ECECEC"/>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50,442</w:t>
            </w:r>
          </w:p>
        </w:tc>
        <w:tc>
          <w:tcPr>
            <w:tcW w:w="200" w:type="dxa"/>
            <w:vAlign w:val="bottom"/>
            <w:vMerge w:val="restart"/>
            <w:shd w:val="clear" w:color="auto" w:fill="ECECEC"/>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73,265</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(22,823)</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8"/>
        </w:trPr>
        <w:tc>
          <w:tcPr>
            <w:tcW w:w="390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6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tcBorders>
              <w:bottom w:val="single" w:sz="8" w:color="auto"/>
            </w:tcBorders>
            <w:vMerge w:val="continue"/>
            <w:shd w:val="clear" w:color="auto" w:fill="ECECEC"/>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right w:val="single" w:sz="8" w:color="ECECEC"/>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44</w:t>
            </w:r>
          </w:p>
        </w:tc>
        <w:tc>
          <w:tcPr>
            <w:tcW w:w="200" w:type="dxa"/>
            <w:vAlign w:val="bottom"/>
            <w:tcBorders>
              <w:bottom w:val="single" w:sz="8" w:color="auto"/>
            </w:tcBorders>
            <w:vMerge w:val="continue"/>
            <w:shd w:val="clear" w:color="auto" w:fill="ECECEC"/>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nm: </w:t>
      </w:r>
      <w:r>
        <w:rPr>
          <w:rFonts w:ascii="Times New Roman" w:cs="Times New Roman" w:eastAsia="Times New Roman" w:hAnsi="Times New Roman"/>
          <w:sz w:val="14"/>
          <w:szCs w:val="14"/>
          <w:color w:val="auto"/>
        </w:rPr>
        <w:t>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0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Calculation of Gross Mining Profit and Gross Mining Margin</w:t>
            </w: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shd w:val="clear" w:color="auto" w:fill="ECECE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bottom w:val="single" w:sz="8" w:color="auto"/>
              <w:right w:val="single" w:sz="8" w:color="ECECEC"/>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64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shd w:val="clear" w:color="auto" w:fill="ECECEC"/>
          </w:tcPr>
          <w:p>
            <w:pPr>
              <w:spacing w:after="0"/>
              <w:rPr>
                <w:sz w:val="20"/>
                <w:szCs w:val="20"/>
                <w:color w:val="auto"/>
              </w:rPr>
            </w:pPr>
          </w:p>
        </w:tc>
        <w:tc>
          <w:tcPr>
            <w:tcW w:w="80" w:type="dxa"/>
            <w:vAlign w:val="bottom"/>
            <w:tcBorders>
              <w:bottom w:val="single" w:sz="8" w:color="auto"/>
            </w:tcBorders>
            <w:shd w:val="clear" w:color="auto" w:fill="ECECEC"/>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Change</w:t>
            </w: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(loss) profit</w:t>
            </w:r>
          </w:p>
        </w:tc>
        <w:tc>
          <w:tcPr>
            <w:tcW w:w="860" w:type="dxa"/>
            <w:vAlign w:val="bottom"/>
            <w:tcBorders>
              <w:bottom w:val="single" w:sz="8" w:color="auto"/>
            </w:tcBorders>
            <w:gridSpan w:val="3"/>
            <w:shd w:val="clear" w:color="auto" w:fill="ECECE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(3,939)</w:t>
            </w: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29,468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(33,407)</w:t>
            </w:r>
          </w:p>
        </w:tc>
        <w:tc>
          <w:tcPr>
            <w:tcW w:w="1100" w:type="dxa"/>
            <w:vAlign w:val="bottom"/>
            <w:tcBorders>
              <w:bottom w:val="single" w:sz="8" w:color="auto"/>
              <w:right w:val="single" w:sz="8" w:color="ECECEC"/>
            </w:tcBorders>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64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22,602</w:t>
            </w:r>
          </w:p>
        </w:tc>
        <w:tc>
          <w:tcPr>
            <w:tcW w:w="80" w:type="dxa"/>
            <w:vAlign w:val="bottom"/>
            <w:tcBorders>
              <w:bottom w:val="single" w:sz="8" w:color="auto"/>
            </w:tcBorders>
            <w:shd w:val="clear" w:color="auto" w:fill="ECECEC"/>
          </w:tcPr>
          <w:p>
            <w:pPr>
              <w:spacing w:after="0"/>
              <w:rPr>
                <w:sz w:val="20"/>
                <w:szCs w:val="20"/>
                <w:color w:val="auto"/>
              </w:rPr>
            </w:pPr>
          </w:p>
        </w:tc>
        <w:tc>
          <w:tcPr>
            <w:tcW w:w="80" w:type="dxa"/>
            <w:vAlign w:val="bottom"/>
            <w:tcBorders>
              <w:bottom w:val="single" w:sz="8" w:color="auto"/>
            </w:tcBorders>
            <w:shd w:val="clear" w:color="auto" w:fill="ECECEC"/>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72,135</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(49,533)</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9"/>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Non-mining revenues (1)</w:t>
            </w:r>
          </w:p>
        </w:tc>
        <w:tc>
          <w:tcPr>
            <w:tcW w:w="66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200" w:type="dxa"/>
            <w:vAlign w:val="bottom"/>
            <w:shd w:val="clear" w:color="auto" w:fill="ECECEC"/>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(1,315)</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344</w:t>
            </w:r>
          </w:p>
        </w:tc>
        <w:tc>
          <w:tcPr>
            <w:tcW w:w="1100" w:type="dxa"/>
            <w:vAlign w:val="bottom"/>
            <w:tcBorders>
              <w:right w:val="single" w:sz="8" w:color="ECECEC"/>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6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(2,342)</w:t>
            </w:r>
          </w:p>
        </w:tc>
        <w:tc>
          <w:tcPr>
            <w:tcW w:w="40" w:type="dxa"/>
            <w:vAlign w:val="bottom"/>
            <w:shd w:val="clear" w:color="auto" w:fill="ECECEC"/>
          </w:tcPr>
          <w:p>
            <w:pPr>
              <w:spacing w:after="0"/>
              <w:rPr>
                <w:sz w:val="18"/>
                <w:szCs w:val="18"/>
                <w:color w:val="auto"/>
              </w:rPr>
            </w:pPr>
          </w:p>
        </w:tc>
        <w:tc>
          <w:tcPr>
            <w:tcW w:w="80" w:type="dxa"/>
            <w:vAlign w:val="bottom"/>
            <w:shd w:val="clear" w:color="auto" w:fill="ECECEC"/>
          </w:tcPr>
          <w:p>
            <w:pPr>
              <w:spacing w:after="0"/>
              <w:rPr>
                <w:sz w:val="18"/>
                <w:szCs w:val="18"/>
                <w:color w:val="auto"/>
              </w:rPr>
            </w:pPr>
          </w:p>
        </w:tc>
        <w:tc>
          <w:tcPr>
            <w:tcW w:w="80" w:type="dxa"/>
            <w:vAlign w:val="bottom"/>
            <w:shd w:val="clear" w:color="auto" w:fill="ECECEC"/>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4"/>
        </w:trPr>
        <w:tc>
          <w:tcPr>
            <w:tcW w:w="3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Depreciation and amortization expense</w:t>
            </w:r>
          </w:p>
        </w:tc>
        <w:tc>
          <w:tcPr>
            <w:tcW w:w="660" w:type="dxa"/>
            <w:vAlign w:val="bottom"/>
            <w:gridSpan w:val="2"/>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20,720</w:t>
            </w:r>
          </w:p>
        </w:tc>
        <w:tc>
          <w:tcPr>
            <w:tcW w:w="200" w:type="dxa"/>
            <w:vAlign w:val="bottom"/>
            <w:shd w:val="clear" w:color="auto" w:fill="ECECEC"/>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color w:val="auto"/>
              </w:rPr>
              <w:t>6,261</w:t>
            </w:r>
          </w:p>
        </w:tc>
        <w:tc>
          <w:tcPr>
            <w:tcW w:w="86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color w:val="auto"/>
              </w:rPr>
              <w:t>14,459</w:t>
            </w:r>
          </w:p>
        </w:tc>
        <w:tc>
          <w:tcPr>
            <w:tcW w:w="1100" w:type="dxa"/>
            <w:vAlign w:val="bottom"/>
            <w:tcBorders>
              <w:right w:val="single" w:sz="8" w:color="ECECEC"/>
            </w:tcBorders>
          </w:tcPr>
          <w:p>
            <w:pPr>
              <w:jc w:val="right"/>
              <w:ind w:right="90"/>
              <w:spacing w:after="0" w:line="194" w:lineRule="exact"/>
              <w:rPr>
                <w:sz w:val="20"/>
                <w:szCs w:val="20"/>
                <w:color w:val="auto"/>
              </w:rPr>
            </w:pPr>
            <w:r>
              <w:rPr>
                <w:rFonts w:ascii="Times New Roman" w:cs="Times New Roman" w:eastAsia="Times New Roman" w:hAnsi="Times New Roman"/>
                <w:sz w:val="18"/>
                <w:szCs w:val="18"/>
                <w:color w:val="auto"/>
              </w:rPr>
              <w:t>231%</w:t>
            </w:r>
          </w:p>
        </w:tc>
        <w:tc>
          <w:tcPr>
            <w:tcW w:w="60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51,643</w:t>
            </w:r>
          </w:p>
        </w:tc>
        <w:tc>
          <w:tcPr>
            <w:tcW w:w="40" w:type="dxa"/>
            <w:vAlign w:val="bottom"/>
            <w:shd w:val="clear" w:color="auto" w:fill="ECECEC"/>
          </w:tcPr>
          <w:p>
            <w:pPr>
              <w:spacing w:after="0"/>
              <w:rPr>
                <w:sz w:val="16"/>
                <w:szCs w:val="16"/>
                <w:color w:val="auto"/>
              </w:rPr>
            </w:pPr>
          </w:p>
        </w:tc>
        <w:tc>
          <w:tcPr>
            <w:tcW w:w="80" w:type="dxa"/>
            <w:vAlign w:val="bottom"/>
            <w:shd w:val="clear" w:color="auto" w:fill="ECECEC"/>
          </w:tcPr>
          <w:p>
            <w:pPr>
              <w:spacing w:after="0"/>
              <w:rPr>
                <w:sz w:val="16"/>
                <w:szCs w:val="16"/>
                <w:color w:val="auto"/>
              </w:rPr>
            </w:pPr>
          </w:p>
        </w:tc>
        <w:tc>
          <w:tcPr>
            <w:tcW w:w="80" w:type="dxa"/>
            <w:vAlign w:val="bottom"/>
            <w:shd w:val="clear" w:color="auto" w:fill="ECECEC"/>
          </w:tcPr>
          <w:p>
            <w:pPr>
              <w:spacing w:after="0"/>
              <w:rPr>
                <w:sz w:val="16"/>
                <w:szCs w:val="16"/>
                <w:color w:val="auto"/>
              </w:rPr>
            </w:pPr>
          </w:p>
        </w:tc>
        <w:tc>
          <w:tcPr>
            <w:tcW w:w="8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14,189</w:t>
            </w:r>
          </w:p>
        </w:tc>
        <w:tc>
          <w:tcPr>
            <w:tcW w:w="100" w:type="dxa"/>
            <w:vAlign w:val="bottom"/>
          </w:tcPr>
          <w:p>
            <w:pPr>
              <w:spacing w:after="0"/>
              <w:rPr>
                <w:sz w:val="16"/>
                <w:szCs w:val="16"/>
                <w:color w:val="auto"/>
              </w:rPr>
            </w:pPr>
          </w:p>
        </w:tc>
        <w:tc>
          <w:tcPr>
            <w:tcW w:w="84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37,454</w:t>
            </w:r>
          </w:p>
        </w:tc>
        <w:tc>
          <w:tcPr>
            <w:tcW w:w="1020" w:type="dxa"/>
            <w:vAlign w:val="bottom"/>
            <w:gridSpan w:val="2"/>
          </w:tcPr>
          <w:p>
            <w:pPr>
              <w:jc w:val="right"/>
              <w:ind w:right="60"/>
              <w:spacing w:after="0" w:line="194" w:lineRule="exact"/>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20"/>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electrical components and other</w:t>
            </w:r>
          </w:p>
        </w:tc>
        <w:tc>
          <w:tcPr>
            <w:tcW w:w="660" w:type="dxa"/>
            <w:vAlign w:val="bottom"/>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690</w:t>
            </w:r>
          </w:p>
        </w:tc>
        <w:tc>
          <w:tcPr>
            <w:tcW w:w="200" w:type="dxa"/>
            <w:vAlign w:val="bottom"/>
            <w:shd w:val="clear" w:color="auto" w:fill="ECECEC"/>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586</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Borders>
              <w:right w:val="single" w:sz="8" w:color="ECECEC"/>
            </w:tcBorders>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6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1,262</w:t>
            </w:r>
          </w:p>
        </w:tc>
        <w:tc>
          <w:tcPr>
            <w:tcW w:w="40" w:type="dxa"/>
            <w:vAlign w:val="bottom"/>
            <w:shd w:val="clear" w:color="auto" w:fill="ECECEC"/>
          </w:tcPr>
          <w:p>
            <w:pPr>
              <w:spacing w:after="0"/>
              <w:rPr>
                <w:sz w:val="19"/>
                <w:szCs w:val="19"/>
                <w:color w:val="auto"/>
              </w:rPr>
            </w:pPr>
          </w:p>
        </w:tc>
        <w:tc>
          <w:tcPr>
            <w:tcW w:w="80" w:type="dxa"/>
            <w:vAlign w:val="bottom"/>
            <w:shd w:val="clear" w:color="auto" w:fill="ECECEC"/>
          </w:tcPr>
          <w:p>
            <w:pPr>
              <w:spacing w:after="0"/>
              <w:rPr>
                <w:sz w:val="19"/>
                <w:szCs w:val="19"/>
                <w:color w:val="auto"/>
              </w:rPr>
            </w:pPr>
          </w:p>
        </w:tc>
        <w:tc>
          <w:tcPr>
            <w:tcW w:w="80" w:type="dxa"/>
            <w:vAlign w:val="bottom"/>
            <w:shd w:val="clear" w:color="auto" w:fill="ECECEC"/>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61"/>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Electrician salaries and payroll taxes</w:t>
            </w:r>
          </w:p>
        </w:tc>
        <w:tc>
          <w:tcPr>
            <w:tcW w:w="66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200" w:type="dxa"/>
            <w:vAlign w:val="bottom"/>
            <w:tcBorders>
              <w:bottom w:val="single" w:sz="8" w:color="auto"/>
            </w:tcBorders>
            <w:shd w:val="clear" w:color="auto" w:fill="ECECEC"/>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448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100" w:type="dxa"/>
            <w:vAlign w:val="bottom"/>
            <w:tcBorders>
              <w:bottom w:val="single" w:sz="8" w:color="auto"/>
              <w:right w:val="single" w:sz="8" w:color="ECECEC"/>
            </w:tcBorders>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6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924</w:t>
            </w:r>
          </w:p>
        </w:tc>
        <w:tc>
          <w:tcPr>
            <w:tcW w:w="40" w:type="dxa"/>
            <w:vAlign w:val="bottom"/>
            <w:tcBorders>
              <w:bottom w:val="single" w:sz="8" w:color="auto"/>
            </w:tcBorders>
            <w:shd w:val="clear" w:color="auto" w:fill="ECECEC"/>
          </w:tcPr>
          <w:p>
            <w:pPr>
              <w:spacing w:after="0"/>
              <w:rPr>
                <w:sz w:val="22"/>
                <w:szCs w:val="22"/>
                <w:color w:val="auto"/>
              </w:rPr>
            </w:pPr>
          </w:p>
        </w:tc>
        <w:tc>
          <w:tcPr>
            <w:tcW w:w="80" w:type="dxa"/>
            <w:vAlign w:val="bottom"/>
            <w:tcBorders>
              <w:bottom w:val="single" w:sz="8" w:color="auto"/>
            </w:tcBorders>
            <w:shd w:val="clear" w:color="auto" w:fill="ECECEC"/>
          </w:tcPr>
          <w:p>
            <w:pPr>
              <w:spacing w:after="0"/>
              <w:rPr>
                <w:sz w:val="22"/>
                <w:szCs w:val="22"/>
                <w:color w:val="auto"/>
              </w:rPr>
            </w:pPr>
          </w:p>
        </w:tc>
        <w:tc>
          <w:tcPr>
            <w:tcW w:w="80" w:type="dxa"/>
            <w:vAlign w:val="bottom"/>
            <w:tcBorders>
              <w:bottom w:val="single" w:sz="8" w:color="auto"/>
            </w:tcBorders>
            <w:shd w:val="clear" w:color="auto" w:fill="ECECEC"/>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1"/>
        </w:trPr>
        <w:tc>
          <w:tcPr>
            <w:tcW w:w="3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Gross mining profit (2)</w:t>
            </w:r>
          </w:p>
        </w:tc>
        <w:tc>
          <w:tcPr>
            <w:tcW w:w="660" w:type="dxa"/>
            <w:vAlign w:val="bottom"/>
            <w:gridSpan w:val="2"/>
            <w:shd w:val="clear" w:color="auto" w:fill="ECECEC"/>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16,789</w:t>
            </w:r>
          </w:p>
        </w:tc>
        <w:tc>
          <w:tcPr>
            <w:tcW w:w="20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Pr>
          <w:p>
            <w:pPr>
              <w:spacing w:after="0"/>
              <w:rPr>
                <w:sz w:val="16"/>
                <w:szCs w:val="16"/>
                <w:color w:val="auto"/>
              </w:rPr>
            </w:pPr>
          </w:p>
        </w:tc>
        <w:tc>
          <w:tcPr>
            <w:tcW w:w="82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rPr>
              <w:t>35,448</w:t>
            </w: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(18,659)</w:t>
            </w:r>
          </w:p>
        </w:tc>
        <w:tc>
          <w:tcPr>
            <w:tcW w:w="1100" w:type="dxa"/>
            <w:vAlign w:val="bottom"/>
            <w:tcBorders>
              <w:right w:val="single" w:sz="8" w:color="ECECEC"/>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(53)%</w:t>
            </w:r>
          </w:p>
        </w:tc>
        <w:tc>
          <w:tcPr>
            <w:tcW w:w="600" w:type="dxa"/>
            <w:vAlign w:val="bottom"/>
            <w:shd w:val="clear" w:color="auto" w:fill="ECECEC"/>
          </w:tcPr>
          <w:p>
            <w:pPr>
              <w:jc w:val="right"/>
              <w:spacing w:after="0" w:line="191" w:lineRule="exact"/>
              <w:rPr>
                <w:sz w:val="20"/>
                <w:szCs w:val="20"/>
                <w:color w:val="auto"/>
              </w:rPr>
            </w:pPr>
            <w:r>
              <w:rPr>
                <w:rFonts w:ascii="Times New Roman" w:cs="Times New Roman" w:eastAsia="Times New Roman" w:hAnsi="Times New Roman"/>
                <w:sz w:val="18"/>
                <w:szCs w:val="18"/>
                <w:b w:val="1"/>
                <w:bCs w:val="1"/>
                <w:color w:val="auto"/>
              </w:rPr>
              <w:t>74,089</w:t>
            </w:r>
          </w:p>
        </w:tc>
        <w:tc>
          <w:tcPr>
            <w:tcW w:w="200" w:type="dxa"/>
            <w:vAlign w:val="bottom"/>
            <w:gridSpan w:val="3"/>
            <w:vMerge w:val="restart"/>
            <w:shd w:val="clear" w:color="auto" w:fill="ECECE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rPr>
              <w:t>85,782</w:t>
            </w:r>
          </w:p>
        </w:tc>
        <w:tc>
          <w:tcPr>
            <w:tcW w:w="1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(11,693)</w:t>
            </w:r>
          </w:p>
        </w:tc>
        <w:tc>
          <w:tcPr>
            <w:tcW w:w="102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8"/>
        </w:trPr>
        <w:tc>
          <w:tcPr>
            <w:tcW w:w="3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mining margin</w:t>
            </w:r>
          </w:p>
        </w:tc>
        <w:tc>
          <w:tcPr>
            <w:tcW w:w="66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200" w:type="dxa"/>
            <w:vAlign w:val="bottom"/>
            <w:tcBorders>
              <w:bottom w:val="single" w:sz="8" w:color="auto"/>
            </w:tcBorders>
            <w:vMerge w:val="continue"/>
            <w:shd w:val="clear" w:color="auto" w:fill="ECECEC"/>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ECECEC"/>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00" w:type="dxa"/>
            <w:vAlign w:val="bottom"/>
            <w:tcBorders>
              <w:bottom w:val="single" w:sz="8" w:color="auto"/>
            </w:tcBorders>
            <w:gridSpan w:val="3"/>
            <w:vMerge w:val="continue"/>
            <w:shd w:val="clear" w:color="auto" w:fill="ECECEC"/>
          </w:tcPr>
          <w:p>
            <w:pPr>
              <w:spacing w:after="0"/>
              <w:rPr>
                <w:sz w:val="23"/>
                <w:szCs w:val="23"/>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2"/>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Non-mining revenues reconciliation:</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40" w:type="dxa"/>
            <w:vAlign w:val="bottom"/>
            <w:tcBorders>
              <w:right w:val="single" w:sz="8" w:color="ECECEC"/>
            </w:tcBorders>
          </w:tcPr>
          <w:p>
            <w:pPr>
              <w:spacing w:after="0"/>
              <w:rPr>
                <w:sz w:val="20"/>
                <w:szCs w:val="20"/>
                <w:color w:val="auto"/>
              </w:rPr>
            </w:pPr>
          </w:p>
        </w:tc>
        <w:tc>
          <w:tcPr>
            <w:tcW w:w="700" w:type="dxa"/>
            <w:vAlign w:val="bottom"/>
            <w:gridSpan w:val="3"/>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Change</w:t>
            </w:r>
          </w:p>
        </w:tc>
        <w:tc>
          <w:tcPr>
            <w:tcW w:w="1100" w:type="dxa"/>
            <w:vAlign w:val="bottom"/>
            <w:tcBorders>
              <w:right w:val="single" w:sz="8" w:color="ECECEC"/>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720" w:type="dxa"/>
            <w:vAlign w:val="bottom"/>
            <w:gridSpan w:val="3"/>
            <w:shd w:val="clear" w:color="auto" w:fill="ECECE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9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 Change  % Change</w:t>
            </w:r>
          </w:p>
        </w:tc>
        <w:tc>
          <w:tcPr>
            <w:tcW w:w="0" w:type="dxa"/>
            <w:vAlign w:val="bottom"/>
          </w:tcPr>
          <w:p>
            <w:pPr>
              <w:spacing w:after="0"/>
              <w:rPr>
                <w:sz w:val="1"/>
                <w:szCs w:val="1"/>
                <w:color w:val="auto"/>
              </w:rPr>
            </w:pPr>
          </w:p>
        </w:tc>
      </w:tr>
      <w:tr>
        <w:trPr>
          <w:trHeight w:val="236"/>
        </w:trPr>
        <w:tc>
          <w:tcPr>
            <w:tcW w:w="200" w:type="dxa"/>
            <w:vAlign w:val="bottom"/>
          </w:tcPr>
          <w:p>
            <w:pPr>
              <w:spacing w:after="0"/>
              <w:rPr>
                <w:sz w:val="20"/>
                <w:szCs w:val="20"/>
                <w:color w:val="auto"/>
              </w:rPr>
            </w:pPr>
          </w:p>
        </w:tc>
        <w:tc>
          <w:tcPr>
            <w:tcW w:w="3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Borders>
              <w:top w:val="single" w:sz="8" w:color="auto"/>
              <w:right w:val="single" w:sz="8" w:color="ECECEC"/>
            </w:tcBorders>
          </w:tcPr>
          <w:p>
            <w:pPr>
              <w:spacing w:after="0"/>
              <w:rPr>
                <w:sz w:val="20"/>
                <w:szCs w:val="20"/>
                <w:color w:val="auto"/>
              </w:rPr>
            </w:pPr>
          </w:p>
        </w:tc>
        <w:tc>
          <w:tcPr>
            <w:tcW w:w="700" w:type="dxa"/>
            <w:vAlign w:val="bottom"/>
            <w:tcBorders>
              <w:top w:val="single" w:sz="8" w:color="auto"/>
            </w:tcBorders>
            <w:gridSpan w:val="3"/>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33,247</w:t>
            </w: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44,774</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(11,527)</w:t>
            </w:r>
          </w:p>
        </w:tc>
        <w:tc>
          <w:tcPr>
            <w:tcW w:w="1100" w:type="dxa"/>
            <w:vAlign w:val="bottom"/>
            <w:tcBorders>
              <w:top w:val="single" w:sz="8" w:color="auto"/>
              <w:right w:val="single" w:sz="8" w:color="ECECEC"/>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720" w:type="dxa"/>
            <w:vAlign w:val="bottom"/>
            <w:tcBorders>
              <w:top w:val="single" w:sz="8" w:color="auto"/>
            </w:tcBorders>
            <w:gridSpan w:val="3"/>
            <w:shd w:val="clear" w:color="auto" w:fill="ECECE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115,391</w:t>
            </w:r>
          </w:p>
        </w:tc>
        <w:tc>
          <w:tcPr>
            <w:tcW w:w="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109,893</w:t>
            </w: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5,498</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mining related revenues for the purpose of</w:t>
            </w:r>
          </w:p>
        </w:tc>
        <w:tc>
          <w:tcPr>
            <w:tcW w:w="240" w:type="dxa"/>
            <w:vAlign w:val="bottom"/>
            <w:tcBorders>
              <w:right w:val="single" w:sz="8" w:color="ECECEC"/>
            </w:tcBorders>
          </w:tcPr>
          <w:p>
            <w:pPr>
              <w:spacing w:after="0"/>
              <w:rPr>
                <w:sz w:val="17"/>
                <w:szCs w:val="17"/>
                <w:color w:val="auto"/>
              </w:rPr>
            </w:pPr>
          </w:p>
        </w:tc>
        <w:tc>
          <w:tcPr>
            <w:tcW w:w="420" w:type="dxa"/>
            <w:vAlign w:val="bottom"/>
            <w:shd w:val="clear" w:color="auto" w:fill="ECECEC"/>
          </w:tcPr>
          <w:p>
            <w:pPr>
              <w:spacing w:after="0"/>
              <w:rPr>
                <w:sz w:val="17"/>
                <w:szCs w:val="17"/>
                <w:color w:val="auto"/>
              </w:rPr>
            </w:pPr>
          </w:p>
        </w:tc>
        <w:tc>
          <w:tcPr>
            <w:tcW w:w="200" w:type="dxa"/>
            <w:vAlign w:val="bottom"/>
            <w:shd w:val="clear" w:color="auto" w:fill="ECECEC"/>
          </w:tcPr>
          <w:p>
            <w:pPr>
              <w:spacing w:after="0"/>
              <w:rPr>
                <w:sz w:val="17"/>
                <w:szCs w:val="17"/>
                <w:color w:val="auto"/>
              </w:rPr>
            </w:pPr>
          </w:p>
        </w:tc>
        <w:tc>
          <w:tcPr>
            <w:tcW w:w="80" w:type="dxa"/>
            <w:vAlign w:val="bottom"/>
            <w:shd w:val="clear" w:color="auto" w:fill="ECECEC"/>
          </w:tcPr>
          <w:p>
            <w:pPr>
              <w:spacing w:after="0"/>
              <w:rPr>
                <w:sz w:val="17"/>
                <w:szCs w:val="17"/>
                <w:color w:val="auto"/>
              </w:rPr>
            </w:pPr>
          </w:p>
        </w:tc>
        <w:tc>
          <w:tcPr>
            <w:tcW w:w="8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Borders>
              <w:right w:val="single" w:sz="8" w:color="ECECEC"/>
            </w:tcBorders>
          </w:tcPr>
          <w:p>
            <w:pPr>
              <w:spacing w:after="0"/>
              <w:rPr>
                <w:sz w:val="17"/>
                <w:szCs w:val="17"/>
                <w:color w:val="auto"/>
              </w:rPr>
            </w:pPr>
          </w:p>
        </w:tc>
        <w:tc>
          <w:tcPr>
            <w:tcW w:w="600" w:type="dxa"/>
            <w:vAlign w:val="bottom"/>
            <w:shd w:val="clear" w:color="auto" w:fill="ECECEC"/>
          </w:tcPr>
          <w:p>
            <w:pPr>
              <w:spacing w:after="0"/>
              <w:rPr>
                <w:sz w:val="17"/>
                <w:szCs w:val="17"/>
                <w:color w:val="auto"/>
              </w:rPr>
            </w:pPr>
          </w:p>
        </w:tc>
        <w:tc>
          <w:tcPr>
            <w:tcW w:w="40" w:type="dxa"/>
            <w:vAlign w:val="bottom"/>
            <w:shd w:val="clear" w:color="auto" w:fill="ECECEC"/>
          </w:tcPr>
          <w:p>
            <w:pPr>
              <w:spacing w:after="0"/>
              <w:rPr>
                <w:sz w:val="17"/>
                <w:szCs w:val="17"/>
                <w:color w:val="auto"/>
              </w:rPr>
            </w:pPr>
          </w:p>
        </w:tc>
        <w:tc>
          <w:tcPr>
            <w:tcW w:w="80" w:type="dxa"/>
            <w:vAlign w:val="bottom"/>
            <w:shd w:val="clear" w:color="auto" w:fill="ECECEC"/>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calculating gross mining margin:</w:t>
            </w:r>
          </w:p>
        </w:tc>
        <w:tc>
          <w:tcPr>
            <w:tcW w:w="240" w:type="dxa"/>
            <w:vAlign w:val="bottom"/>
            <w:tcBorders>
              <w:right w:val="single" w:sz="8" w:color="ECECEC"/>
            </w:tcBorders>
          </w:tcPr>
          <w:p>
            <w:pPr>
              <w:spacing w:after="0"/>
              <w:rPr>
                <w:sz w:val="20"/>
                <w:szCs w:val="20"/>
                <w:color w:val="auto"/>
              </w:rPr>
            </w:pPr>
          </w:p>
        </w:tc>
        <w:tc>
          <w:tcPr>
            <w:tcW w:w="620" w:type="dxa"/>
            <w:vAlign w:val="bottom"/>
            <w:gridSpan w:val="2"/>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(32,276)</w:t>
            </w:r>
          </w:p>
        </w:tc>
        <w:tc>
          <w:tcPr>
            <w:tcW w:w="80" w:type="dxa"/>
            <w:vAlign w:val="bottom"/>
            <w:shd w:val="clear" w:color="auto" w:fill="ECECEC"/>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00" w:type="dxa"/>
            <w:vAlign w:val="bottom"/>
            <w:tcBorders>
              <w:right w:val="single" w:sz="8" w:color="ECECEC"/>
            </w:tcBorders>
          </w:tcPr>
          <w:p>
            <w:pPr>
              <w:spacing w:after="0"/>
              <w:rPr>
                <w:sz w:val="20"/>
                <w:szCs w:val="20"/>
                <w:color w:val="auto"/>
              </w:rPr>
            </w:pPr>
          </w:p>
        </w:tc>
        <w:tc>
          <w:tcPr>
            <w:tcW w:w="640" w:type="dxa"/>
            <w:vAlign w:val="bottom"/>
            <w:gridSpan w:val="2"/>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(113,049)</w:t>
            </w:r>
          </w:p>
        </w:tc>
        <w:tc>
          <w:tcPr>
            <w:tcW w:w="80" w:type="dxa"/>
            <w:vAlign w:val="bottom"/>
            <w:shd w:val="clear" w:color="auto" w:fill="ECECEC"/>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0" w:type="dxa"/>
            <w:vAlign w:val="bottom"/>
          </w:tcPr>
          <w:p>
            <w:pPr>
              <w:spacing w:after="0"/>
              <w:rPr>
                <w:sz w:val="17"/>
                <w:szCs w:val="17"/>
                <w:color w:val="auto"/>
              </w:rPr>
            </w:pPr>
          </w:p>
        </w:tc>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Mining revenues</w:t>
            </w:r>
          </w:p>
        </w:tc>
        <w:tc>
          <w:tcPr>
            <w:tcW w:w="240" w:type="dxa"/>
            <w:vAlign w:val="bottom"/>
            <w:tcBorders>
              <w:right w:val="single" w:sz="8" w:color="ECECEC"/>
            </w:tcBorders>
          </w:tcPr>
          <w:p>
            <w:pPr>
              <w:spacing w:after="0"/>
              <w:rPr>
                <w:sz w:val="17"/>
                <w:szCs w:val="17"/>
                <w:color w:val="auto"/>
              </w:rPr>
            </w:pPr>
          </w:p>
        </w:tc>
        <w:tc>
          <w:tcPr>
            <w:tcW w:w="620" w:type="dxa"/>
            <w:vAlign w:val="bottom"/>
            <w:gridSpan w:val="2"/>
            <w:vMerge w:val="continue"/>
            <w:shd w:val="clear" w:color="auto" w:fill="ECECEC"/>
          </w:tcPr>
          <w:p>
            <w:pPr>
              <w:spacing w:after="0"/>
              <w:rPr>
                <w:sz w:val="17"/>
                <w:szCs w:val="17"/>
                <w:color w:val="auto"/>
              </w:rPr>
            </w:pPr>
          </w:p>
        </w:tc>
        <w:tc>
          <w:tcPr>
            <w:tcW w:w="80" w:type="dxa"/>
            <w:vAlign w:val="bottom"/>
            <w:shd w:val="clear" w:color="auto" w:fill="ECECEC"/>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(43,459)</w:t>
            </w:r>
          </w:p>
        </w:tc>
        <w:tc>
          <w:tcPr>
            <w:tcW w:w="86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11,183</w:t>
            </w:r>
          </w:p>
        </w:tc>
        <w:tc>
          <w:tcPr>
            <w:tcW w:w="1100" w:type="dxa"/>
            <w:vAlign w:val="bottom"/>
            <w:tcBorders>
              <w:right w:val="single" w:sz="8" w:color="ECECEC"/>
            </w:tcBorders>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(26)%</w:t>
            </w:r>
          </w:p>
        </w:tc>
        <w:tc>
          <w:tcPr>
            <w:tcW w:w="640" w:type="dxa"/>
            <w:vAlign w:val="bottom"/>
            <w:gridSpan w:val="2"/>
            <w:vMerge w:val="continue"/>
            <w:shd w:val="clear" w:color="auto" w:fill="ECECEC"/>
          </w:tcPr>
          <w:p>
            <w:pPr>
              <w:spacing w:after="0"/>
              <w:rPr>
                <w:sz w:val="17"/>
                <w:szCs w:val="17"/>
                <w:color w:val="auto"/>
              </w:rPr>
            </w:pPr>
          </w:p>
        </w:tc>
        <w:tc>
          <w:tcPr>
            <w:tcW w:w="80" w:type="dxa"/>
            <w:vAlign w:val="bottom"/>
            <w:shd w:val="clear" w:color="auto" w:fill="ECECEC"/>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(106,001)</w:t>
            </w:r>
          </w:p>
        </w:tc>
        <w:tc>
          <w:tcPr>
            <w:tcW w:w="100" w:type="dxa"/>
            <w:vAlign w:val="bottom"/>
          </w:tcPr>
          <w:p>
            <w:pPr>
              <w:spacing w:after="0"/>
              <w:rPr>
                <w:sz w:val="17"/>
                <w:szCs w:val="17"/>
                <w:color w:val="auto"/>
              </w:rPr>
            </w:pPr>
          </w:p>
        </w:tc>
        <w:tc>
          <w:tcPr>
            <w:tcW w:w="84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(7,048)</w:t>
            </w:r>
          </w:p>
        </w:tc>
        <w:tc>
          <w:tcPr>
            <w:tcW w:w="8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0" w:type="dxa"/>
            <w:vAlign w:val="bottom"/>
          </w:tcPr>
          <w:p>
            <w:pPr>
              <w:spacing w:after="0"/>
              <w:rPr>
                <w:sz w:val="22"/>
                <w:szCs w:val="22"/>
                <w:color w:val="auto"/>
              </w:rPr>
            </w:pP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Hosting revenues</w:t>
            </w:r>
          </w:p>
        </w:tc>
        <w:tc>
          <w:tcPr>
            <w:tcW w:w="240" w:type="dxa"/>
            <w:vAlign w:val="bottom"/>
            <w:tcBorders>
              <w:bottom w:val="single" w:sz="8" w:color="auto"/>
              <w:right w:val="single" w:sz="8" w:color="ECECEC"/>
            </w:tcBorders>
          </w:tcPr>
          <w:p>
            <w:pPr>
              <w:spacing w:after="0"/>
              <w:rPr>
                <w:sz w:val="22"/>
                <w:szCs w:val="22"/>
                <w:color w:val="auto"/>
              </w:rPr>
            </w:pPr>
          </w:p>
        </w:tc>
        <w:tc>
          <w:tcPr>
            <w:tcW w:w="420" w:type="dxa"/>
            <w:vAlign w:val="bottom"/>
            <w:tcBorders>
              <w:bottom w:val="single" w:sz="8" w:color="auto"/>
            </w:tcBorders>
            <w:shd w:val="clear" w:color="auto" w:fill="ECECEC"/>
          </w:tcPr>
          <w:p>
            <w:pPr>
              <w:spacing w:after="0"/>
              <w:rPr>
                <w:sz w:val="22"/>
                <w:szCs w:val="22"/>
                <w:color w:val="auto"/>
              </w:rPr>
            </w:pPr>
          </w:p>
        </w:tc>
        <w:tc>
          <w:tcPr>
            <w:tcW w:w="2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80" w:type="dxa"/>
            <w:vAlign w:val="bottom"/>
            <w:tcBorders>
              <w:bottom w:val="single" w:sz="8" w:color="auto"/>
            </w:tcBorders>
            <w:shd w:val="clear" w:color="auto" w:fill="ECECEC"/>
          </w:tcPr>
          <w:p>
            <w:pPr>
              <w:spacing w:after="0"/>
              <w:rPr>
                <w:sz w:val="22"/>
                <w:szCs w:val="22"/>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right w:val="single" w:sz="8" w:color="ECECEC"/>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auto"/>
            </w:tcBorders>
            <w:shd w:val="clear" w:color="auto" w:fill="ECECEC"/>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673</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Non-mining revenues</w:t>
            </w:r>
          </w:p>
        </w:tc>
        <w:tc>
          <w:tcPr>
            <w:tcW w:w="240" w:type="dxa"/>
            <w:vAlign w:val="bottom"/>
            <w:tcBorders>
              <w:bottom w:val="single" w:sz="8" w:color="auto"/>
              <w:right w:val="single" w:sz="8" w:color="ECECEC"/>
            </w:tcBorders>
          </w:tcPr>
          <w:p>
            <w:pPr>
              <w:spacing w:after="0"/>
              <w:rPr>
                <w:sz w:val="21"/>
                <w:szCs w:val="21"/>
                <w:color w:val="auto"/>
              </w:rPr>
            </w:pPr>
          </w:p>
        </w:tc>
        <w:tc>
          <w:tcPr>
            <w:tcW w:w="62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80" w:type="dxa"/>
            <w:vAlign w:val="bottom"/>
            <w:tcBorders>
              <w:bottom w:val="single" w:sz="8" w:color="auto"/>
            </w:tcBorders>
            <w:shd w:val="clear" w:color="auto" w:fill="ECECEC"/>
          </w:tcPr>
          <w:p>
            <w:pPr>
              <w:spacing w:after="0"/>
              <w:rPr>
                <w:sz w:val="21"/>
                <w:szCs w:val="21"/>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100" w:type="dxa"/>
            <w:vAlign w:val="bottom"/>
            <w:tcBorders>
              <w:bottom w:val="single" w:sz="8" w:color="auto"/>
              <w:right w:val="single" w:sz="8" w:color="ECECEC"/>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64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2,342</w:t>
            </w:r>
          </w:p>
        </w:tc>
        <w:tc>
          <w:tcPr>
            <w:tcW w:w="80" w:type="dxa"/>
            <w:vAlign w:val="bottom"/>
            <w:tcBorders>
              <w:bottom w:val="single" w:sz="8" w:color="auto"/>
            </w:tcBorders>
            <w:shd w:val="clear" w:color="auto" w:fill="ECECEC"/>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(877)</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firstLine="8"/>
        <w:spacing w:after="0" w:line="261" w:lineRule="auto"/>
        <w:tabs>
          <w:tab w:leader="none" w:pos="207"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“Gross mining profit” is defined as Gross profit excluding depreciation and amortization and other minor items included in cost of sales that do not directly relate to mining related activities. “Gross mining margin” is defined as the percentage obtained when dividing Gross mining profit by Revenues from mining related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0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Geographical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revenues were $33.2 million in Q3 2022, compared to $44.8 million in Q3 2021. The decrease of $11.6 million, or 26%, in revenues was mainly due to Canada revenues of $27.3 million during Q3 2022 compared to $42.1 million in Q3 2021. US-based revenues increased by $1.9 million from the Company’s Washington operations in Q3 2022 when compared to the same period in the previous year. Paraguay and Argentina revenues were $1.1 million and $0.2 million in Q3 2022, respectively, compared to nil and nil in Q3 2021, respectively. For further details of the global increase in revenues, refer to the revenue reconciliation performed in the Consolidated Results of Operations section above.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YTD Q3 2022, Bitfarms’ revenues were $115.4 million, compared to $109.9 million for the same period in 2021. The increase of $5.5 million, or 5%, in revenues was mainly due to US-based revenues from the Company’s Washington operations of $21.7 million during YTD Q3 2022 compared to $5.2 million in YTD Q3 2021. Revenues in Canada decreased by $14.2 million during YTD Q3 2022 when compared to the same period in the previous year. Further adding to the increase of revenues were the Paraguay and Argentina revenues of $3.0 million and $0.2 million in YTD Q3 2022, respectively, compared to nil and nil in YTD Q3 2021, respectively. For further details of the global increase in revenues, refer to the revenue reconciliation performed in the Consolidated Results of Operations section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plant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at September 30, 2022, Bitfarms had PPE of $220.1 million compared to a $136.9 million as at December 31, 2021. The increase of $83.2 million, or 61%, was primarily due to a $71.2 million increase of PPE in Canada, mainly relating to the delivery of approximately 24,000 miners from the Company’s 48,000 unit order, and was offset by a $9.0 million decrease of PPE in the US mostly due to depreciation expense incurred. Bitfarms also added PPE of $20.7 million with the expansion in Argentina.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discussed below, the Company’s current financing strategy involves selling BTC mined and in treasury and utilizing short-term debt, long-term debt and equity instruments to fund its expansion activities, operating expenses and debt service requirements. The Company anticipates requiring additional funds to complete its growth plans discussed in the </w:t>
      </w:r>
      <w:r>
        <w:rPr>
          <w:rFonts w:ascii="Times New Roman" w:cs="Times New Roman" w:eastAsia="Times New Roman" w:hAnsi="Times New Roman"/>
          <w:sz w:val="18"/>
          <w:szCs w:val="18"/>
          <w:i w:val="1"/>
          <w:iCs w:val="1"/>
          <w:color w:val="auto"/>
        </w:rPr>
        <w:t>Expansions</w:t>
      </w:r>
      <w:r>
        <w:rPr>
          <w:rFonts w:ascii="Times New Roman" w:cs="Times New Roman" w:eastAsia="Times New Roman" w:hAnsi="Times New Roman"/>
          <w:sz w:val="18"/>
          <w:szCs w:val="18"/>
          <w:color w:val="auto"/>
        </w:rPr>
        <w:t xml:space="preserve"> section of this MD&amp;A.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the Company operates through subsidiaries, there are no material legal restrictions and generally no practical restrictions on the ability of the subsidiaries to transfer funds to the Company, except that the Company may be subject to practical limitations on transferring funds from its Argentinian subsidiary. Since the second half of 2019, the Argentine government has instituted certain foreign currency exchange controls which could restrict the access of foreign currency, including the US dollar, for making payments abroad or transferring funds to its parent without prior authorization from the Argentine Central Bank. These regulations have continued to evolve and may become more stringent depending on the Argentine government´s perception of availability of sufficient national foreign currency reserves. Currently, the Company sends funds periodically to Argentina to fund its expansion based on supplier invoices that are paid by the Argentinian subsidiary. The Argentinian subsidiary will provide mining services to its Canadian parent which owns and will record revenue from the BTC mined in Argentina and, accordingly, the Argentinian subsidiary is not structured or contemplated to generate substantial cash flows above its internal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(U.S.$ in thousands except where indicated)</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shd w:val="clear" w:color="auto" w:fill="ECECEC"/>
          </w:tcPr>
          <w:p>
            <w:pPr>
              <w:spacing w:after="0"/>
              <w:rPr>
                <w:sz w:val="20"/>
                <w:szCs w:val="20"/>
                <w:color w:val="auto"/>
              </w:rPr>
            </w:pPr>
          </w:p>
        </w:tc>
        <w:tc>
          <w:tcPr>
            <w:tcW w:w="1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Change</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1120" w:type="dxa"/>
            <w:vAlign w:val="bottom"/>
            <w:tcBorders>
              <w:bottom w:val="single" w:sz="8" w:color="auto"/>
            </w:tcBorders>
            <w:gridSpan w:val="2"/>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125,595</w:t>
            </w:r>
          </w:p>
        </w:tc>
        <w:tc>
          <w:tcPr>
            <w:tcW w:w="100" w:type="dxa"/>
            <w:vAlign w:val="bottom"/>
            <w:tcBorders>
              <w:bottom w:val="single" w:sz="8" w:color="auto"/>
            </w:tcBorders>
            <w:shd w:val="clear" w:color="auto" w:fill="ECECEC"/>
          </w:tcPr>
          <w:p>
            <w:pPr>
              <w:spacing w:after="0"/>
              <w:rPr>
                <w:sz w:val="20"/>
                <w:szCs w:val="20"/>
                <w:color w:val="auto"/>
              </w:rPr>
            </w:pPr>
          </w:p>
        </w:tc>
        <w:tc>
          <w:tcPr>
            <w:tcW w:w="1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5,947</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119,648</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(used in):</w:t>
            </w:r>
          </w:p>
        </w:tc>
        <w:tc>
          <w:tcPr>
            <w:tcW w:w="120" w:type="dxa"/>
            <w:vAlign w:val="bottom"/>
            <w:shd w:val="clear" w:color="auto" w:fill="ECECEC"/>
          </w:tcPr>
          <w:p>
            <w:pPr>
              <w:spacing w:after="0"/>
              <w:rPr>
                <w:sz w:val="18"/>
                <w:szCs w:val="18"/>
                <w:color w:val="auto"/>
              </w:rPr>
            </w:pPr>
          </w:p>
        </w:tc>
        <w:tc>
          <w:tcPr>
            <w:tcW w:w="1000" w:type="dxa"/>
            <w:vAlign w:val="bottom"/>
            <w:vMerge w:val="restart"/>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3,169</w:t>
            </w:r>
          </w:p>
        </w:tc>
        <w:tc>
          <w:tcPr>
            <w:tcW w:w="100" w:type="dxa"/>
            <w:vAlign w:val="bottom"/>
            <w:shd w:val="clear" w:color="auto" w:fill="ECECEC"/>
          </w:tcPr>
          <w:p>
            <w:pPr>
              <w:spacing w:after="0"/>
              <w:rPr>
                <w:sz w:val="18"/>
                <w:szCs w:val="18"/>
                <w:color w:val="auto"/>
              </w:rPr>
            </w:pP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shd w:val="clear" w:color="auto" w:fill="ECECEC"/>
          </w:tcPr>
          <w:p>
            <w:pPr>
              <w:spacing w:after="0"/>
              <w:rPr>
                <w:sz w:val="18"/>
                <w:szCs w:val="18"/>
                <w:color w:val="auto"/>
              </w:rPr>
            </w:pPr>
          </w:p>
        </w:tc>
        <w:tc>
          <w:tcPr>
            <w:tcW w:w="1000" w:type="dxa"/>
            <w:vAlign w:val="bottom"/>
            <w:vMerge w:val="continue"/>
            <w:shd w:val="clear" w:color="auto" w:fill="ECECEC"/>
          </w:tcPr>
          <w:p>
            <w:pPr>
              <w:spacing w:after="0"/>
              <w:rPr>
                <w:sz w:val="18"/>
                <w:szCs w:val="18"/>
                <w:color w:val="auto"/>
              </w:rPr>
            </w:pPr>
          </w:p>
        </w:tc>
        <w:tc>
          <w:tcPr>
            <w:tcW w:w="100" w:type="dxa"/>
            <w:vAlign w:val="bottom"/>
            <w:shd w:val="clear" w:color="auto" w:fill="ECECEC"/>
          </w:tcPr>
          <w:p>
            <w:pPr>
              <w:spacing w:after="0"/>
              <w:rPr>
                <w:sz w:val="18"/>
                <w:szCs w:val="18"/>
                <w:color w:val="auto"/>
              </w:rPr>
            </w:pPr>
          </w:p>
        </w:tc>
        <w:tc>
          <w:tcPr>
            <w:tcW w:w="15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(33,076)</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36,245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4"/>
        </w:trPr>
        <w:tc>
          <w:tcPr>
            <w:tcW w:w="59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shd w:val="clear" w:color="auto" w:fill="ECECEC"/>
          </w:tcPr>
          <w:p>
            <w:pPr>
              <w:spacing w:after="0"/>
              <w:rPr>
                <w:sz w:val="16"/>
                <w:szCs w:val="16"/>
                <w:color w:val="auto"/>
              </w:rPr>
            </w:pPr>
          </w:p>
        </w:tc>
        <w:tc>
          <w:tcPr>
            <w:tcW w:w="100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(144,541)</w:t>
            </w:r>
          </w:p>
        </w:tc>
        <w:tc>
          <w:tcPr>
            <w:tcW w:w="100" w:type="dxa"/>
            <w:vAlign w:val="bottom"/>
            <w:shd w:val="clear" w:color="auto" w:fill="ECECEC"/>
          </w:tcPr>
          <w:p>
            <w:pPr>
              <w:spacing w:after="0"/>
              <w:rPr>
                <w:sz w:val="16"/>
                <w:szCs w:val="16"/>
                <w:color w:val="auto"/>
              </w:rPr>
            </w:pPr>
          </w:p>
        </w:tc>
        <w:tc>
          <w:tcPr>
            <w:tcW w:w="156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color w:val="auto"/>
              </w:rPr>
              <w:t>(129,207)</w:t>
            </w:r>
          </w:p>
        </w:tc>
        <w:tc>
          <w:tcPr>
            <w:tcW w:w="130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color w:val="auto"/>
              </w:rPr>
              <w:t>(15,334)</w:t>
            </w:r>
          </w:p>
        </w:tc>
        <w:tc>
          <w:tcPr>
            <w:tcW w:w="12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shd w:val="clear" w:color="auto" w:fill="ECECEC"/>
          </w:tcPr>
          <w:p>
            <w:pPr>
              <w:spacing w:after="0"/>
              <w:rPr>
                <w:sz w:val="19"/>
                <w:szCs w:val="19"/>
                <w:color w:val="auto"/>
              </w:rPr>
            </w:pPr>
          </w:p>
        </w:tc>
        <w:tc>
          <w:tcPr>
            <w:tcW w:w="10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51,542</w:t>
            </w:r>
          </w:p>
        </w:tc>
        <w:tc>
          <w:tcPr>
            <w:tcW w:w="100" w:type="dxa"/>
            <w:vAlign w:val="bottom"/>
            <w:shd w:val="clear" w:color="auto" w:fill="ECECEC"/>
          </w:tcPr>
          <w:p>
            <w:pPr>
              <w:spacing w:after="0"/>
              <w:rPr>
                <w:sz w:val="19"/>
                <w:szCs w:val="19"/>
                <w:color w:val="auto"/>
              </w:rPr>
            </w:pPr>
          </w:p>
        </w:tc>
        <w:tc>
          <w:tcPr>
            <w:tcW w:w="15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199,624</w:t>
            </w:r>
          </w:p>
        </w:tc>
        <w:tc>
          <w:tcPr>
            <w:tcW w:w="13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(148,082)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61"/>
        </w:trPr>
        <w:tc>
          <w:tcPr>
            <w:tcW w:w="5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rate differences on currency translation</w:t>
            </w:r>
          </w:p>
        </w:tc>
        <w:tc>
          <w:tcPr>
            <w:tcW w:w="120" w:type="dxa"/>
            <w:vAlign w:val="bottom"/>
            <w:tcBorders>
              <w:bottom w:val="single" w:sz="8" w:color="auto"/>
            </w:tcBorders>
            <w:shd w:val="clear" w:color="auto" w:fill="ECECEC"/>
          </w:tcPr>
          <w:p>
            <w:pPr>
              <w:spacing w:after="0"/>
              <w:rPr>
                <w:sz w:val="22"/>
                <w:szCs w:val="22"/>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bottom w:val="single" w:sz="8" w:color="auto"/>
            </w:tcBorders>
            <w:shd w:val="clear" w:color="auto" w:fill="ECECEC"/>
          </w:tcPr>
          <w:p>
            <w:pPr>
              <w:spacing w:after="0"/>
              <w:rPr>
                <w:sz w:val="22"/>
                <w:szCs w:val="22"/>
                <w:color w:val="auto"/>
              </w:rPr>
            </w:pPr>
          </w:p>
        </w:tc>
        <w:tc>
          <w:tcPr>
            <w:tcW w:w="15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(21)</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70</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44"/>
        </w:trPr>
        <w:tc>
          <w:tcPr>
            <w:tcW w:w="5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120" w:type="dxa"/>
            <w:vAlign w:val="bottom"/>
            <w:tcBorders>
              <w:bottom w:val="single" w:sz="8" w:color="auto"/>
            </w:tcBorders>
            <w:shd w:val="clear" w:color="auto" w:fill="ECECEC"/>
          </w:tcPr>
          <w:p>
            <w:pPr>
              <w:spacing w:after="0"/>
              <w:rPr>
                <w:sz w:val="21"/>
                <w:szCs w:val="21"/>
                <w:color w:val="auto"/>
              </w:rPr>
            </w:pPr>
          </w:p>
        </w:tc>
        <w:tc>
          <w:tcPr>
            <w:tcW w:w="10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35,814</w:t>
            </w:r>
          </w:p>
        </w:tc>
        <w:tc>
          <w:tcPr>
            <w:tcW w:w="100" w:type="dxa"/>
            <w:vAlign w:val="bottom"/>
            <w:tcBorders>
              <w:bottom w:val="single" w:sz="8" w:color="auto"/>
            </w:tcBorders>
            <w:shd w:val="clear" w:color="auto" w:fill="ECECEC"/>
          </w:tcPr>
          <w:p>
            <w:pPr>
              <w:spacing w:after="0"/>
              <w:rPr>
                <w:sz w:val="21"/>
                <w:szCs w:val="21"/>
                <w:color w:val="auto"/>
              </w:rPr>
            </w:pPr>
          </w:p>
        </w:tc>
        <w:tc>
          <w:tcPr>
            <w:tcW w:w="15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43,267</w:t>
            </w:r>
          </w:p>
        </w:tc>
        <w:tc>
          <w:tcPr>
            <w:tcW w:w="13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(7,453)</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6"/>
        </w:trPr>
        <w:tc>
          <w:tcPr>
            <w:tcW w:w="5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increased by $36.2 million during the nine months ended September 30, 2022, compared to the nine months ended September 30, 2021. The increase in net cash flows from operating activities was primarily driven by the liquidation of 5,970 BTC for total operating proceeds of $105.0 million during the nine months ended September 30, 2022, compared to 95 BTC for total proceeds of $3.6 million for the same period in 2021. The increase is partially offset by higher energy and infrastructure costs, higher cash general and administrative expenses, interest and financial expenses paid, taxes paid and additional long-term deposits placed on infrastructure and miners in connection with the Company’s expansions.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flows used in investing activities increased by $15.3 million during the nine months ended September 30, 2022, compared to the nine months ended September 30, 2021. This was primarily due to $111.4 million of net additions to PPE for Miners and infrastructure buildout during the nine months ended September 30, 2022, compared to $56.5 million of net additions for the same period in 2021. This was offset by $44.3 million of net proceeds received from the purchase and disposition of marketable securities to fund the Argentina expansion activities compared to $2.3 million for the same period in 2021, as described in note 18 of the third quarter 2022 unaudited interim period condensed consolidated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$43.2 million was used to purchase 1,000 BTC, of which a portion was sold for proceeds of $20.7 million, as well as $54.9 million in advance payments made on new PPE, mostly related to securing the delivery of 48,000 MicroBT Miners and 1,200 Bitmain Miners for anticipated delivery throughout 2022 and the first nine months of 2023, as well as construction deposits relating to the Argentina expansion, compared to $75.0 million in advanced payments made on new PPE for the same period in 2021.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flows from financing activities decreased by $148.1 million from $199.6 million for the nine months ended September 30, 2021 to $51.5 million for the nine months ended September 30, 2022. During the nine months ended September 30, 2022, the Company raised $40.0 million of proceeds from the BTC-backed credit facility, $67.2 million of net proceeds from new long-term debt and $48.5 million of net proceeds from the Company’s at-the-market equity program. These proceeds were partially offset by payments relating to the credit facility, long-term debt and lease liabilities of approximately $76.9 million, $23.2 million and $4.1 million, respectively. During the nine months ended September 30, 2021, $149.0 million was raised from the issuance of common shares and warrants, $60.4 million was raised from the exercise of warrants and stock options and $10.9 million was raised from long-term debt. These proceeds were partially offset by long-term debt and lease repayments of $17.4 million and $3.3 million, respectively, including the repayment of the Dominion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0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at September 30, 2022, Bitfarms had working capital of $20.8 million compared to $185.9 million as at December 31, 2021. The decrease in working capital is mostly due to the decrease by $112.7 million in total digital assets (including the digital assets pledged as collateral) following the disposal of 5,970 BTC and the $21.1 million change in unrealized loss on revaluation of digital assets. The proceeds from the disposal of BTC were used in part to pay down the credit facility for a net decrease of $36.6 million, which was offset by the net increase of the current portion of long-term debt by $28.5 million following the additional funds raised from the February 2022 and June 2022 equipment financing agreements. Other proceeds were used primarily to acquire PPE and make deposits to secure orders of Mining hardware and electrical distribution equipment, which resulted in a decrease of cash of $89.8 million when comparing working capital as at September 30, 2022 to December 31, 2021.</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numerous risks and uncertainties associated with Bitfarms’ business and industry, we are unable to estimate the exact amount and timing of our working capital requirements. Our future funding requirements will depend on many factors, including electricity rates and other service and infrastructure expenses; the evolving regulatory and tax environment of cryptocurrencies; counter parties’ performance of their contractual obligations; and the cost and timing of hiring new employees and of purchasing and selling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Bitfarms’ capital management objective is to provide the financial resources that will enable the Company to maximize the return to its shareholders while optimizing its cost of capital. In order to achieve this objective, the Company monitors its capital structure and makes adjustments as required in light of changes in economic conditions and the risks to which the Company is exposed. The Company’s strategy for achieving this objective is to maintain a flexible capital structure that optimizes the cost of capital at an acceptable level of risk, to preserve its ability to meet financial obligations as they come due, and to ensure the Company has sufficient financial resources to fund its organic and acquisitive growth.</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August 2022, to better align the number of Miners on hand with the infrastructure capacity available to utilize the Miners, the Company entered into amendment agreements with equipment vendors to postpone into 2023, without penalty, the remaining delivery of and payment for certain remaining equipment purchases. Based on the current capital budget and BTC prices, the Company presently anticipates that additional financing will be required to complete the required remaining payments on its order of 48,000 Miners scheduled for delivery throughout 2022 and the first nine months of 2023 and to complete construction of two warehouses in Argentina and Sherbrooke expansions. The Company also anticipates that additional financing will be required to purchase sufficient miners to utilize fully its maximum capacity in 2023. In order to achieve its business objectives, the Company can sell or borrow against the BTC that have been accumulated as of the date hereof as well as BTC generated from ongoing operations, which may or may not be possible on commercially attractive terms.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Bitfarms may manage its capital structure by reducing operating expenses and capital spending, disposing of inefficient or underutilized assets, obtaining short-term and long-term debt financing and issuing equity. Refer to the </w:t>
      </w:r>
      <w:r>
        <w:rPr>
          <w:rFonts w:ascii="Times New Roman" w:cs="Times New Roman" w:eastAsia="Times New Roman" w:hAnsi="Times New Roman"/>
          <w:sz w:val="18"/>
          <w:szCs w:val="18"/>
          <w:i w:val="1"/>
          <w:iCs w:val="1"/>
          <w:color w:val="auto"/>
        </w:rPr>
        <w:t>Commitments and Liquidity Risk</w:t>
      </w:r>
      <w:r>
        <w:rPr>
          <w:rFonts w:ascii="Times New Roman" w:cs="Times New Roman" w:eastAsia="Times New Roman" w:hAnsi="Times New Roman"/>
          <w:sz w:val="18"/>
          <w:szCs w:val="18"/>
          <w:color w:val="auto"/>
        </w:rPr>
        <w:t xml:space="preserve"> section of this MD&amp;A for more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Asset Management Program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early January 2021, the Company implemented a BTC asset management program pursuant to which the Company added 3,301 BTC to its balance sheet during the year ended December 31, 2021. In January 2022, the Board of Directors (the “BOD”) authorized management to purchase 1,000 BTC. During the three months ended June 30, 2022, following the BOD approval, the Company sold 3,000 BTC in collateral to repay part of the credit facility and 350 BTC in treasury to manage liquidity levels. During the three months ended September 30, 2022, the Company sold 670 BTC in collateral to repay part of the credit facility and 1,925 BTC in treasury to manage liquidity levels. On August 1, 2022, management received approval from the BOD to sell the daily production, in addition to any sale of up to 1,000 BTC from treasury should market conditions be justified in the discretion of management. The purchase and disposal of BTC as described above while the Company continued to mine BTC resulted in the net reduction from December 31, 2021 to September 30, 2022 of 1,237 BTC for total holdings of 2,064 BTC as at September 30, 2022, valued at approximately $40.1 million based on a BTC price of approximately $19,400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9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described its expansion plans below under the sections “Sherbrooke Expansion”, “Argentina Expansion”, “Paraguay Expansion” and “Washington Expansion”. The Company had set a revised corporate goal of reaching 5.0 EH/S by the end of 2022 based on the Company’s projected production capacity by year-end 2022 and reflecting adjustments to its Argentina deployment plan and current expansion opportunities in Canada and Paraguay. As of September 30, 2022, the Company achieved its 4.2 EH/s target.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estimated costs and timelines to achieve these expansion plans may change based on, among other factors, the prevailing price of BTC, network difficulty, supply of cryptocurrency mining equipment, supply of electrical and other supporting infrastructure equipment, construction materials, currency exchange rates, the impact of COVID-19 on the supply chains described above and the Company’s ability to fund its initiatives. The Company’s expansion plans are reliant on a consistent supply of electricity at cost-effective rates; refer to the </w:t>
      </w:r>
      <w:r>
        <w:rPr>
          <w:rFonts w:ascii="Times New Roman" w:cs="Times New Roman" w:eastAsia="Times New Roman" w:hAnsi="Times New Roman"/>
          <w:sz w:val="18"/>
          <w:szCs w:val="18"/>
          <w:i w:val="1"/>
          <w:iCs w:val="1"/>
          <w:color w:val="auto"/>
        </w:rPr>
        <w:t>Economic Dependence on Regulated Terms of Service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Electricity Rates Risks </w:t>
      </w:r>
      <w:r>
        <w:rPr>
          <w:rFonts w:ascii="Times New Roman" w:cs="Times New Roman" w:eastAsia="Times New Roman" w:hAnsi="Times New Roman"/>
          <w:sz w:val="18"/>
          <w:szCs w:val="18"/>
          <w:color w:val="auto"/>
        </w:rPr>
        <w:t>of the MD&amp;A for the year ended December 31, 2021 dated March 28, 2022 for further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Sherbrooke Expansion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Bitfarms completed Phases 1 and 2 of the Sherbrooke Expansion at the de la Pointe property in 2019, representing 30 MW of electrical infrastructure. In response to complaints concerning noise at the de la Pointe property and indications from Sherbrooke municipal officials that they were reviewing applicable regulations, the Company met with community residents and city officials on several occasions during 2020 and 2021. In response to the residents’ concerns, the Company constructed a sound barrier wall at a cost of approximately $0.3 million in 2020 and invested $0.7 million to install quieter exhaust structures and fans as well as other sound mitigating measures, including real-time sound monitoring equipment and feedback channels for residents to communicate directly with the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2021, the Company reached an agreement with the City of Sherbrooke to gradually retire Phases 1 and 2 of the Sherbrooke Expansion. Under the agreement, the Company has reduced its consumption at the de la Pointe property to 18 MW given that 66 MW of new electrical infrastructure elsewhere in the City of Sherbrooke was completed. The Company committed to entirely relocate its operations from Phases 1 and 2 of the Sherbrooke Expansion at the earlier of the completion of 80 MW of new electrical infrastructure in the City of Sherbrooke and February 28, 2023. In addition, the Company has the option to sell the building currently housing Phases 1 and 2 of the Sherbrooke Expansion to the City of Sherbrooke for approximately $2.3 million (CAD $3.0 million). The agreement does not restrict the ability of the Company to sell the building to a third party other than the City of Sherbrooke. On October 12, 2022, the Company signed an offer to purchase with a third party to sell the De la Pointe building, included in property, plant and equipment, for $3.6 million (CAD $5.0 million), which is expected to result in a gain on disposition of approximately $0.3 million.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and October 2021, the Company entered into lease agreements for two new facilities in Sherbrooke: “Leger” and “The Bunker”, respectively. These facilities will include similar sound mitigating mechanisms as were installed in the de la Pointe facility. Construction of Leger was completed in June 2022 with 30 MW of capacity available which currently accommodates approximately 7,500 new generation miners producing approximately 750 PH/s. The Bunker, representing 48 MW of capacity, is expected to be completed in three phases during 2022, and capable of accommodating 13,000 new generation miners producing approximately 1.3EH/s. Construction of the Bunker is expected to occur in three separate phases:</w:t>
      </w:r>
    </w:p>
    <w:p>
      <w:pPr>
        <w:spacing w:after="0" w:line="183"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one, representing 18 MW, was constructed in a pre-existing building. Internal infrastructure work began in Q4 2021 with the first 12 MW becoming operational in March 2022, and the remaining 6 MW was operating by June 2022.</w:t>
      </w:r>
    </w:p>
    <w:p>
      <w:pPr>
        <w:spacing w:after="0" w:line="188"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two, representing 18 MW, is in a portion of the building that was originally under construction. Internal infrastructure work began in Q1 2022 and the 18 MW was completed in July 2022.</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three, representing the remaining 12 MW, is in a portion of the building that is currently under construction and is expected to be completed in November 2022 and energized in December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90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expected capital cost for the construction of the infrastructure for Leger and The Bunker is approximately $17 million to $19 million. As of the date of this MD&amp;A, the Company has completed the Leger facility and phases one and two of The Bunker facility. As of September 30, 2022, the Company acquired $18.1 million of PPE and placed $1.6 million of additional deposits for property, plant and equipment for the construction of The Bunker. The Company expects to deploy a significant portion of its order of 48,000 MicroBT miners at these facilities with deliveries scheduled to arrive throughout 2022. The Miners expected to be installed in Sherbrooke have an estimated cost of $80 to $90 million. As of September 30, 2022, the Company added approximately 24,000 miners with a cost of $85.9 million. The Company’s commitments in connection with its order of 48,000 MicroBT Miners are outlined in the </w:t>
      </w:r>
      <w:r>
        <w:rPr>
          <w:rFonts w:ascii="Times New Roman" w:cs="Times New Roman" w:eastAsia="Times New Roman" w:hAnsi="Times New Roman"/>
          <w:sz w:val="18"/>
          <w:szCs w:val="18"/>
          <w:i w:val="1"/>
          <w:iCs w:val="1"/>
          <w:color w:val="auto"/>
        </w:rPr>
        <w:t>Commitments and Liquidity Risk</w:t>
      </w:r>
      <w:r>
        <w:rPr>
          <w:rFonts w:ascii="Times New Roman" w:cs="Times New Roman" w:eastAsia="Times New Roman" w:hAnsi="Times New Roman"/>
          <w:sz w:val="18"/>
          <w:szCs w:val="18"/>
          <w:color w:val="auto"/>
        </w:rPr>
        <w:t xml:space="preserve"> section of this MD&amp;A. The Company anticipates that these costs will be shared between the Leger and The Bunker facilities.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2022, the Company acquired an existing building in Sherbrooke (“Garlock”) at a cost of approximately $1.8 million in cash and the issuance of 25,000 common share purchase warrants to the seller featuring a two-year life and a strike price of $3.47. The Garlock property, which is expected to be completed in two phases and be operational during November and December 2022, represents 18 MW of electrical infrastructure at an estimated cost of approximately $4.5 million, excluding the cost of the property. The Garlock property, combined with the Bunker and Leger properties, are intended to replace the de la Pointe property and fully utilize the Company’s power contracts totaling 96 MW in the municipality in accordance with the Company’s agreement with the City of Sherbrooke reached in September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Argentina Expansion</w:t>
      </w:r>
    </w:p>
    <w:p>
      <w:pPr>
        <w:spacing w:after="0" w:line="22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2021, the Company entered into an eight-year power purchase agreement for up to 210 MW with a private Argentinian power producer. The agreement establishes that the power producer will supply the Company with power at a rate of $0.03 per kilowatt hour for the first four years, up to a maximum amount of 1,103,760 megawatt hours per year, and is subject to certain adjustments, variable pricing components and conditions. The pricing on the remaining four years of the eight-year energy contract will be determined by a formula that is largely dependent on natural gas prices. The agreement also allows for the power producer to renegotiate the rate if the ratio of the exchange rate under the blue-chip swap mechanism used in Argentina to the official exchange rate is less than 1.50. For further details on the Company’s power purchase agreement, refer to the Economic Dependence on Regulated Terms of Service and Electricity Rates Risks section of the MD&amp;A for the year ended December 31, 2021 dated March 28, 2022. In July 2021, the Company entered into an eight-year lease agreement, comprising annual payments of approximately $0.1 million, with the power producer to lease land within the power producer’s property for the mining facility’s construction and operation. In September 2021, the Company entered into a contract with Proyectos y Obras Americanas S.A. (“PROA”) to provide engineering, procurement, and construction services for the Argentina facility. PROA specializes in utility-grade electrical infrastructure and civil construction with relevant expertise in the design and construction of electrical interconnections, high voltage electrical lines, and transformers needed for operations of the size of the planned Argentina facility. Pursuant to an agreement signed with LPZ Hosting S.A.S (“LPZ”), LPZ is responsible for the detail engineering, purchasing management and execution of louvers, sound and noise system, electric installation, data network installation, air conditioning system, air extraction and filter systems, racks, closed-circuit television “(CCTV)”, fire detection and extinguisher system as well as installation of all low voltage works. Ingenia Grupo Consultor and Gieco S.A. (“Ingenia”) were retained as a consortium group responsible for the construction of provisional high voltage powerline and transformer station as well as the expansion of the 132 KW public bars of the power plant. Ingenia, under the supervision of LPZ, was also selected to carry out electrical data and CCTV assembly work for the first warehouse. The Company has also engaged Dreicon S.A. as an independent engineering firm to oversee construction, quality control and project milestones for the Company’s projected buildout schedule. As of September 30, 2022, the Company has placed deposits of $11.0 million and $3.7 million with suppliers for construction costs and for BVVE and electrical components, respectively. The Company has also acquired $34.9 million of PPE, incurred $0.3 million of expenditures relating to design and feasibility studies and recorded cumulative gains on disposition of marketable securities of $50.5 million associated with the conversion of funds into the Argentine Pesos for disbursements. The facility, if fully developed, is expected to comprise up to four separate warehouse-style buildings. The adverse impact of recent geopolitical events on natural gas prices, as well as new importation restrictions, as detailed below, is leading the Company to reassess the timing of its build out and deployment at this facility. The first warehouse, which is included in the capacity needed to reach the 5.0 EH/s figure, represents approximately 50 MW of incremental infrastructure capacity. As of October 31, 2022, 10 of the 50 MW were operational with an additional 8 MW expected to be operational by year-end, for a total of 18 MW. As of November 14, 2022, construction of the first warehouse was completed, but not yet fully commissioned. Since October 17, 2022, a new importation system, called Sistema de importaciones de la República Argentina (“SIRA”) replaced the previous one called Sistema integral de monitoreo de importaciones (“SIMI”). The SIRA system, which aims to put additional controls on the importations and to limit the outflow of U.S. dollars from the country, imposed additional restrictions on the importation of crypto mining equipment. As a result, and for reasons beyond its control, the Company has been forced to slowdown the deployment of its Miners fleet. The remaining 32 MW to complete the first warehouse is contemplated to be operational as soon as importation restrictions 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90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second warehouse represents approximately 50 MW of infrastructure capacity and is expected to be completed during 2023. The cost of developing the first two warehouses is currently estimated to range from $55 million to $65 million, including the installation of high voltage lines and a substation, net of any expected gains on disposition of marketable securities in connection with the Company’s mechanism for funding the Argentina Expansion, as described above, and excluding importation costs. All four warehouses, if built, are expected to be able to accommodate over 55,000 new generation Miners, and be capable of producing approximately 5.5 EH/s. The Company plans to deploy a significant portion of its order of 48,000 MicroBT miners at this facility, with deliveries currently expected to arrive throughout 2022 and the first nine months of 2023. The Company’s commitments in connection with its order of 48,000 MicroBT Miners are outlined in the Commitments and Liquidity Risk section of this MD&amp;A.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Paraguay Expansion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2021, the Company entered into an annually renewable 10 MW power purchase agreement with Villarica’s electricity distribution company, Compañía Luz y Fuerza SA (“CLYFSA”), at a current effective electricity cost of $0.036 per kilowatt hour. The Company also entered into a five-year lease agreement with another counterparty, beginning August 1, 2021 with monthly payments of $20,000, to lease land at the existing facility. The construction of the facility cost $1.1 million, was completed in December 2021 and became operational in January 2022. Currently, the facility accommodates 2,900 of the Company’s older generation Miners and generates approximately 125 PH/s.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18, 2022, the Paraguayan Congress approved a bill regulating the mining, trading, intermediation, exchange, transfer, custody and administration of crypto-assets and instruments that would allow control of crypto-assets. The proposed legislation aimed to create an attractive regulatory environment within the country through the establishment of a straightforward licensing regime that clearly establishes the requirements to operate crypto-assets activities in the Country. Approved by both chambers, the law has been submitted to the executive branch, where the President has the power to approve or veto it. On August 30, 2022, the law was vetoed by the President and was returned to the congress to be discussed again. It is unknown if a new law will be approved and when.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16, 2022, the executive branch issued decree No. 7824/22 by which the National Electricity Administration (“ANDE”) was requested to adopt complementary and temporary regulatory measures to adjust the variables corresponding to the electricity rates aimed at special intensive consumption sectors. In this context, ANDE, through resolution No. 7824/22, dated October 4, 2022, created the Special Intensive Consumption Group, which includes supplies at very high voltage (220 kV), high voltage (66 kV), medium voltage (23 kV) at the substation and at the line, and set up the tariffs until December 2027. This Special Intensive Consumption group applies, among others, to crypto asset mining activities. While the new ANDE tariffs have no impact in our current activities in Paraguay as our contract is with the local supplier CLYFSA as detailed above, it may, however, be relevant to future operations in Paraguay.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Washington Expansion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9, 2021, the Company completed the acquisition of a facility in Washington state consisting of 12 MW of hydro-electric power purchase agreements, an additional 12 MW of in-process applications for expanded power-purchase agreements, transformers with 17 MW of capacity, land, buildings, electrical distribution equipment and a below market lease for a 5 MW facility that was set to expire on November 8, 2022. On October 20, 2022, the Company renewed the lease for a period of 23 months with similar terms. During the three months ended June 30, 2022, the Company added 3 MW of electrical infrastructure and is currently operating approximately 20 MW of electrical infrastructure with the majority of the Company’s Antminer S19j Pro Miners generating approximately 600 PH/s in this facility. The Company’s power supplier has provided a preliminary indication that the next 6 MW of in-process applications are expected to be energized in the first half of 2023 with the remaining 3 MW of in-process applications estimated to be energized in Q2 2024. Upon closing of the transaction, the Company transferred approximately $23.0 million in cash and 415,000 Common shares with a value of $3.7 million on the closing date. The net identifiable assets acquired include electrical distribution equipment valued at $6.0 million, buildings valued at $0.7 million, land valued at $0.1 million and a favourable lease valued at $2.0 million. The acquisition resulted in the Company recording goodwill of $17.9 million, which was determined as at June 30, 2022 to be fully impaired as a result of the decrease in the price of BTC.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90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at November 14, 2022, the Company does not have any off-balance sheet arrangements that have, or are reasonably likely to have, a current or future effect on the financial performance or financial condition of the Company including, without limitation, such considerations as liquidity and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MD&amp;A, the Company has 217,572,000 common shares outstanding, 10,498,000 vested and 7,317,000 unvested stock options, 19,453,000 warrants outstanding and 400,000 restricted stock units. There are no preferred shares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Program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Bitfarms commenced an at-the-market (ATM) equity program on August 16, 2021, by means of a prospectus supplement dated August 16, 2021, to the Company’s short form base shelf prospectus dated August 12, 2021, and U.S. registration statement on Form-F-10, which includes the base shelf prospectus. The Company may, at its discretion and from time-to-time, sell common shares of the Company as would result in the Company receiving aggregate proceeds of up to $500 million. During the year ended December 31, 2021, the Company issued 23,923,000 common shares in exchange for gross proceeds of $150.3 million at an average share price of approximately USD$6.28. The Company received net proceeds of $145.6 million after paying commissions of $4.5 million to the Company’s agent, in addition to $0.2 million of other transaction fees. During the three months ended September 30, 2022, the Company issued 9,357,000 common shares in exchange for gross proceeds of $13.0 million at an average share price of approximately USD$1.39. The Company received net proceeds of $12.6 million after paying commissions of $0.5 million to the Company’s agent.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issued 20,835,000 common shares in exchange for gross proceeds of $50.2 million at an average share price of approximately USD$2.41. The Company received net proceeds of $48.5 million after paying commissions of $1.6 million to the Company’s agent, in addition to $0.1 million of other transaction fees. Since the ATM commenced, the Company has issued 44,758,000 common shares for net proceeds of $194.1 million as of September 30,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used and intends to continue to use the proceeds from the ATM equity program to prudently support the growth and development of the Company’s Mining operations, as described under the </w:t>
      </w:r>
      <w:r>
        <w:rPr>
          <w:rFonts w:ascii="Times New Roman" w:cs="Times New Roman" w:eastAsia="Times New Roman" w:hAnsi="Times New Roman"/>
          <w:sz w:val="18"/>
          <w:szCs w:val="18"/>
          <w:i w:val="1"/>
          <w:iCs w:val="1"/>
          <w:color w:val="auto"/>
        </w:rPr>
        <w:t>Expansions</w:t>
      </w:r>
      <w:r>
        <w:rPr>
          <w:rFonts w:ascii="Times New Roman" w:cs="Times New Roman" w:eastAsia="Times New Roman" w:hAnsi="Times New Roman"/>
          <w:sz w:val="18"/>
          <w:szCs w:val="18"/>
          <w:color w:val="auto"/>
        </w:rPr>
        <w:t xml:space="preserve"> section of this MD&amp;A, as well as for working capital and general corporate purposes. Described below are the actual uses of proceeds from the commencement of the ATM equity program through September 30,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(U.S. $ in thousands except where indicated)</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954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Use of proceeds as of</w:t>
            </w:r>
          </w:p>
        </w:tc>
      </w:tr>
      <w:tr>
        <w:trPr>
          <w:trHeight w:val="238"/>
        </w:trPr>
        <w:tc>
          <w:tcPr>
            <w:tcW w:w="9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Categories</w:t>
            </w:r>
          </w:p>
        </w:tc>
        <w:tc>
          <w:tcPr>
            <w:tcW w:w="17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r>
      <w:tr>
        <w:trPr>
          <w:trHeight w:val="210"/>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MicroBT Miners</w:t>
            </w:r>
          </w:p>
        </w:tc>
        <w:tc>
          <w:tcPr>
            <w:tcW w:w="16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83,289</w:t>
            </w:r>
          </w:p>
        </w:tc>
        <w:tc>
          <w:tcPr>
            <w:tcW w:w="100" w:type="dxa"/>
            <w:vAlign w:val="bottom"/>
          </w:tcPr>
          <w:p>
            <w:pPr>
              <w:spacing w:after="0"/>
              <w:rPr>
                <w:sz w:val="18"/>
                <w:szCs w:val="18"/>
                <w:color w:val="auto"/>
              </w:rPr>
            </w:pPr>
          </w:p>
        </w:tc>
      </w:tr>
      <w:tr>
        <w:trPr>
          <w:trHeight w:val="194"/>
        </w:trPr>
        <w:tc>
          <w:tcPr>
            <w:tcW w:w="95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Bitmain Miners</w:t>
            </w:r>
          </w:p>
        </w:tc>
        <w:tc>
          <w:tcPr>
            <w:tcW w:w="160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24,057</w:t>
            </w:r>
          </w:p>
        </w:tc>
        <w:tc>
          <w:tcPr>
            <w:tcW w:w="100" w:type="dxa"/>
            <w:vAlign w:val="bottom"/>
          </w:tcPr>
          <w:p>
            <w:pPr>
              <w:spacing w:after="0"/>
              <w:rPr>
                <w:sz w:val="16"/>
                <w:szCs w:val="16"/>
                <w:color w:val="auto"/>
              </w:rPr>
            </w:pP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Washington Expansion</w:t>
            </w:r>
          </w:p>
        </w:tc>
        <w:tc>
          <w:tcPr>
            <w:tcW w:w="16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26,106</w:t>
            </w:r>
          </w:p>
        </w:tc>
        <w:tc>
          <w:tcPr>
            <w:tcW w:w="100" w:type="dxa"/>
            <w:vAlign w:val="bottom"/>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Sherbrooke Expansion</w:t>
            </w:r>
          </w:p>
        </w:tc>
        <w:tc>
          <w:tcPr>
            <w:tcW w:w="16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19,712</w:t>
            </w:r>
          </w:p>
        </w:tc>
        <w:tc>
          <w:tcPr>
            <w:tcW w:w="100" w:type="dxa"/>
            <w:vAlign w:val="bottom"/>
          </w:tcPr>
          <w:p>
            <w:pPr>
              <w:spacing w:after="0"/>
              <w:rPr>
                <w:sz w:val="18"/>
                <w:szCs w:val="18"/>
                <w:color w:val="auto"/>
              </w:rPr>
            </w:pPr>
          </w:p>
        </w:tc>
      </w:tr>
      <w:tr>
        <w:trPr>
          <w:trHeight w:val="216"/>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Argentina Expansion, net of gain on disposition of marketable securities</w:t>
            </w:r>
          </w:p>
        </w:tc>
        <w:tc>
          <w:tcPr>
            <w:tcW w:w="16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37,140</w:t>
            </w:r>
          </w:p>
        </w:tc>
        <w:tc>
          <w:tcPr>
            <w:tcW w:w="100" w:type="dxa"/>
            <w:vAlign w:val="bottom"/>
          </w:tcPr>
          <w:p>
            <w:pPr>
              <w:spacing w:after="0"/>
              <w:rPr>
                <w:sz w:val="18"/>
                <w:szCs w:val="18"/>
                <w:color w:val="auto"/>
              </w:rPr>
            </w:pPr>
          </w:p>
        </w:tc>
      </w:tr>
      <w:tr>
        <w:trPr>
          <w:trHeight w:val="220"/>
        </w:trPr>
        <w:tc>
          <w:tcPr>
            <w:tcW w:w="9540" w:type="dxa"/>
            <w:vAlign w:val="bottom"/>
          </w:tcPr>
          <w:p>
            <w:pPr>
              <w:spacing w:after="0"/>
              <w:rPr>
                <w:sz w:val="20"/>
                <w:szCs w:val="20"/>
                <w:color w:val="auto"/>
              </w:rPr>
            </w:pPr>
            <w:r>
              <w:rPr>
                <w:rFonts w:ascii="Times New Roman" w:cs="Times New Roman" w:eastAsia="Times New Roman" w:hAnsi="Times New Roman"/>
                <w:sz w:val="18"/>
                <w:szCs w:val="18"/>
                <w:color w:val="auto"/>
              </w:rPr>
              <w:t>Cowansville Expansion</w:t>
            </w:r>
          </w:p>
        </w:tc>
        <w:tc>
          <w:tcPr>
            <w:tcW w:w="160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100" w:type="dxa"/>
            <w:vAlign w:val="bottom"/>
          </w:tcPr>
          <w:p>
            <w:pPr>
              <w:spacing w:after="0"/>
              <w:rPr>
                <w:sz w:val="19"/>
                <w:szCs w:val="19"/>
                <w:color w:val="auto"/>
              </w:rPr>
            </w:pPr>
          </w:p>
        </w:tc>
      </w:tr>
      <w:tr>
        <w:trPr>
          <w:trHeight w:val="261"/>
        </w:trPr>
        <w:tc>
          <w:tcPr>
            <w:tcW w:w="9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Paraguay Expansion</w:t>
            </w:r>
          </w:p>
        </w:tc>
        <w:tc>
          <w:tcPr>
            <w:tcW w:w="16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3,230</w:t>
            </w:r>
          </w:p>
        </w:tc>
        <w:tc>
          <w:tcPr>
            <w:tcW w:w="100" w:type="dxa"/>
            <w:vAlign w:val="bottom"/>
            <w:tcBorders>
              <w:bottom w:val="single" w:sz="8" w:color="auto"/>
            </w:tcBorders>
          </w:tcPr>
          <w:p>
            <w:pPr>
              <w:spacing w:after="0"/>
              <w:rPr>
                <w:sz w:val="22"/>
                <w:szCs w:val="22"/>
                <w:color w:val="auto"/>
              </w:rPr>
            </w:pPr>
          </w:p>
        </w:tc>
      </w:tr>
      <w:tr>
        <w:trPr>
          <w:trHeight w:val="243"/>
        </w:trPr>
        <w:tc>
          <w:tcPr>
            <w:tcW w:w="95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194,107</w:t>
            </w:r>
          </w:p>
        </w:tc>
        <w:tc>
          <w:tcPr>
            <w:tcW w:w="100" w:type="dxa"/>
            <w:vAlign w:val="bottom"/>
            <w:tcBorders>
              <w:bottom w:val="single" w:sz="8" w:color="auto"/>
            </w:tcBorders>
          </w:tcPr>
          <w:p>
            <w:pPr>
              <w:spacing w:after="0"/>
              <w:rPr>
                <w:sz w:val="21"/>
                <w:szCs w:val="2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continue to explore expansion opportunities in new and existing facilities, subject to market conditions and the ability to continue to obtain suitable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and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assets include cash, trade receivables, and other assets. The Company’s financial liabilities include trade payables and accrued liabilities, credit facility, and long-term debt.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expose it primarily to credit, counterparty, liquidity, foreign currency, concentration and custody of digital assets risks.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 and Counter Party Risk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Credit risk and counter party risk is the risk of an unexpected loss if a third party fails to meet its contractual obligations, including cash and cash equivalents. There is a risk of suppliers of mining hardware failing to meet their contractual obligations, which may result in late deliveries or significant long-term deposits and equipment prepayments that are not realized. The Company attempts to mitigate this risk by procuring mining hardware from larger more established suppliers with whom the Company has existing relationships and knowledge of their reputation in the market, as described in Note 8 of the third quarter 2022 unaudited interim period condensed consolidated financial statements. The Company also insures the majority of its construction deposits for the Argentina facility in order to mitigate the risk of supplier’s not meeting their contractual obligations. The risk regarding cash and cash equivalents is mitigated by holding the majority of the Company’s cash and cash equivalents through a Canadian chartered bank. The credit risk regarding trade receivables are derived mainly from sales to Volta’s third-party customers. The Company performs ongoing credit evaluations of its customers. An allowance for doubtful accounts is based on management’s assessment of a customer’s credit quality as well as subjective factors and trends, including the aging of receivable balances.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Liquidity Risk</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pay its financial obligations when they become due. The Company’s policy is to monitor its cash balances, BTC holdings and planned cash flows generated from operations and financing activities to ensure, as far as possible, that it maintains sufficient liquidity to meet its projected financial obligations.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entered into agreements with Mining hardware manufacturers that require significant deposits in advance of receiving the revenue-generating equipment. The Company may manage its capital structure by issuing equity, obtaining loan financing, adjusting capital spending, or disposing of assets in order to maintain sufficient liquidity to meet its contractual obligations with Mining hardware manufacturers.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deposits on Mining hardware and electrical components in the amount of $21.7 million. These deposits are mainly for orders placed on 48,000 Whatsminer miners and 1,200 Antminers with expected delivery throughout 2022 and the first nine months of 2023. The table below outlines the Company’s remaining payment obligations in connection with the 48,000-unit and 1,200 Antminer purchase agreements described above, presented 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100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ending December 31, 2022</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6,462</w:t>
            </w:r>
          </w:p>
        </w:tc>
        <w:tc>
          <w:tcPr>
            <w:tcW w:w="100" w:type="dxa"/>
            <w:vAlign w:val="bottom"/>
          </w:tcPr>
          <w:p>
            <w:pPr>
              <w:spacing w:after="0"/>
              <w:rPr>
                <w:sz w:val="18"/>
                <w:szCs w:val="18"/>
                <w:color w:val="auto"/>
              </w:rPr>
            </w:pPr>
          </w:p>
        </w:tc>
      </w:tr>
      <w:tr>
        <w:trPr>
          <w:trHeight w:val="194"/>
        </w:trPr>
        <w:tc>
          <w:tcPr>
            <w:tcW w:w="10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Three months ending March 31, 2023</w:t>
            </w:r>
          </w:p>
        </w:tc>
        <w:tc>
          <w:tcPr>
            <w:tcW w:w="112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13,447</w:t>
            </w:r>
          </w:p>
        </w:tc>
        <w:tc>
          <w:tcPr>
            <w:tcW w:w="100" w:type="dxa"/>
            <w:vAlign w:val="bottom"/>
          </w:tcPr>
          <w:p>
            <w:pPr>
              <w:spacing w:after="0"/>
              <w:rPr>
                <w:sz w:val="16"/>
                <w:szCs w:val="16"/>
                <w:color w:val="auto"/>
              </w:rPr>
            </w:pPr>
          </w:p>
        </w:tc>
      </w:tr>
      <w:tr>
        <w:trPr>
          <w:trHeight w:val="22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ending June 30, 2023</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13,313</w:t>
            </w:r>
          </w:p>
        </w:tc>
        <w:tc>
          <w:tcPr>
            <w:tcW w:w="100" w:type="dxa"/>
            <w:vAlign w:val="bottom"/>
          </w:tcPr>
          <w:p>
            <w:pPr>
              <w:spacing w:after="0"/>
              <w:rPr>
                <w:sz w:val="19"/>
                <w:szCs w:val="19"/>
                <w:color w:val="auto"/>
              </w:rPr>
            </w:pPr>
          </w:p>
        </w:tc>
      </w:tr>
      <w:tr>
        <w:trPr>
          <w:trHeight w:val="261"/>
        </w:trPr>
        <w:tc>
          <w:tcPr>
            <w:tcW w:w="10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Three months ending September 30, 2023</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12,128</w:t>
            </w:r>
          </w:p>
        </w:tc>
        <w:tc>
          <w:tcPr>
            <w:tcW w:w="100" w:type="dxa"/>
            <w:vAlign w:val="bottom"/>
            <w:tcBorders>
              <w:bottom w:val="single" w:sz="8" w:color="auto"/>
            </w:tcBorders>
          </w:tcPr>
          <w:p>
            <w:pPr>
              <w:spacing w:after="0"/>
              <w:rPr>
                <w:sz w:val="22"/>
                <w:szCs w:val="22"/>
                <w:color w:val="auto"/>
              </w:rPr>
            </w:pPr>
          </w:p>
        </w:tc>
      </w:tr>
      <w:tr>
        <w:trPr>
          <w:trHeight w:val="243"/>
        </w:trPr>
        <w:tc>
          <w:tcPr>
            <w:tcW w:w="100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45,350</w:t>
            </w:r>
          </w:p>
        </w:tc>
        <w:tc>
          <w:tcPr>
            <w:tcW w:w="100" w:type="dxa"/>
            <w:vAlign w:val="bottom"/>
            <w:tcBorders>
              <w:bottom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90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may require additional sources of financing to meet the payment obligations included in the table above. If the Company were unable to obtain such financing, or if the BTC price and network difficulty adversely impacted the Company’s liquidity, then the Company may have difficulty meeting its payment obligations. If the Company were unable to meet its payment obligations, there could result in the loss of equipment prepayments and deposits paid by the Company under the purchase agreements and remedial legal measures taken against the Company which may include damages and forced continuance of the contractual arrangement. Under these circumstances, the Company’s growth plans and ongoing operations could be adversely impacted.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observed high demand and supply constraints for Mining hardware in recent periods. In order to meet its growth objectives, the Company may enter into additional contracts for Mining hardware that may require significant additional deposits and fixed contractual payments. These contracts would be subject to risks that are similar to risks in the Company’s existing contracts, mainly with respect to the Company’s liquidity and ability to meet its payment obligations as well as counterparty risks, including delays in delivery and deposits that may not be realized.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 liabilities include financial obligations with contractual maturities, inclusive of interest, presented in thousands of U.S. dollars as of September 30, 2022,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6"/>
        </w:trPr>
        <w:tc>
          <w:tcPr>
            <w:tcW w:w="100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r>
      <w:tr>
        <w:trPr>
          <w:trHeight w:val="21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2,205</w:t>
            </w:r>
          </w:p>
        </w:tc>
        <w:tc>
          <w:tcPr>
            <w:tcW w:w="100" w:type="dxa"/>
            <w:vAlign w:val="bottom"/>
          </w:tcPr>
          <w:p>
            <w:pPr>
              <w:spacing w:after="0"/>
              <w:rPr>
                <w:sz w:val="18"/>
                <w:szCs w:val="18"/>
                <w:color w:val="auto"/>
              </w:rPr>
            </w:pPr>
          </w:p>
        </w:tc>
      </w:tr>
      <w:tr>
        <w:trPr>
          <w:trHeight w:val="194"/>
        </w:trPr>
        <w:tc>
          <w:tcPr>
            <w:tcW w:w="100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2023</w:t>
            </w:r>
          </w:p>
        </w:tc>
        <w:tc>
          <w:tcPr>
            <w:tcW w:w="1120" w:type="dxa"/>
            <w:vAlign w:val="bottom"/>
            <w:shd w:val="clear" w:color="auto" w:fill="ECECEC"/>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3,615</w:t>
            </w:r>
          </w:p>
        </w:tc>
        <w:tc>
          <w:tcPr>
            <w:tcW w:w="100" w:type="dxa"/>
            <w:vAlign w:val="bottom"/>
          </w:tcPr>
          <w:p>
            <w:pPr>
              <w:spacing w:after="0"/>
              <w:rPr>
                <w:sz w:val="16"/>
                <w:szCs w:val="16"/>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2,624</w:t>
            </w:r>
          </w:p>
        </w:tc>
        <w:tc>
          <w:tcPr>
            <w:tcW w:w="100" w:type="dxa"/>
            <w:vAlign w:val="bottom"/>
          </w:tcPr>
          <w:p>
            <w:pPr>
              <w:spacing w:after="0"/>
              <w:rPr>
                <w:sz w:val="18"/>
                <w:szCs w:val="18"/>
                <w:color w:val="auto"/>
              </w:rPr>
            </w:pPr>
          </w:p>
        </w:tc>
      </w:tr>
      <w:tr>
        <w:trPr>
          <w:trHeight w:val="220"/>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2,518</w:t>
            </w:r>
          </w:p>
        </w:tc>
        <w:tc>
          <w:tcPr>
            <w:tcW w:w="100" w:type="dxa"/>
            <w:vAlign w:val="bottom"/>
          </w:tcPr>
          <w:p>
            <w:pPr>
              <w:spacing w:after="0"/>
              <w:rPr>
                <w:sz w:val="19"/>
                <w:szCs w:val="19"/>
                <w:color w:val="auto"/>
              </w:rPr>
            </w:pPr>
          </w:p>
        </w:tc>
      </w:tr>
      <w:tr>
        <w:trPr>
          <w:trHeight w:val="268"/>
        </w:trPr>
        <w:tc>
          <w:tcPr>
            <w:tcW w:w="10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11,405</w:t>
            </w:r>
          </w:p>
        </w:tc>
        <w:tc>
          <w:tcPr>
            <w:tcW w:w="100" w:type="dxa"/>
            <w:vAlign w:val="bottom"/>
            <w:tcBorders>
              <w:bottom w:val="single" w:sz="8" w:color="auto"/>
            </w:tcBorders>
          </w:tcPr>
          <w:p>
            <w:pPr>
              <w:spacing w:after="0"/>
              <w:rPr>
                <w:sz w:val="23"/>
                <w:szCs w:val="23"/>
                <w:color w:val="auto"/>
              </w:rPr>
            </w:pPr>
          </w:p>
        </w:tc>
      </w:tr>
      <w:tr>
        <w:trPr>
          <w:trHeight w:val="250"/>
        </w:trPr>
        <w:tc>
          <w:tcPr>
            <w:tcW w:w="100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22,367</w:t>
            </w:r>
          </w:p>
        </w:tc>
        <w:tc>
          <w:tcPr>
            <w:tcW w:w="100" w:type="dxa"/>
            <w:vAlign w:val="bottom"/>
            <w:tcBorders>
              <w:bottom w:val="single" w:sz="8" w:color="auto"/>
            </w:tcBorders>
          </w:tcPr>
          <w:p>
            <w:pPr>
              <w:spacing w:after="0"/>
              <w:rPr>
                <w:sz w:val="21"/>
                <w:szCs w:val="2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Long-term debt includes financial obligations with contractual maturities, inclusive of interest on long-term debt and the Company’s revolving credit facility, and assuming the credit facility is not rolled over at maturity (in contrast to current practice and management’s expectations), presented in thousands of U.S. dollars as of September 30, 2022,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100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r>
      <w:tr>
        <w:trPr>
          <w:trHeight w:val="210"/>
        </w:trPr>
        <w:tc>
          <w:tcPr>
            <w:tcW w:w="10020" w:type="dxa"/>
            <w:vAlign w:val="bottom"/>
          </w:tcPr>
          <w:p>
            <w:pPr>
              <w:jc w:val="right"/>
              <w:ind w:right="9570"/>
              <w:spacing w:after="0"/>
              <w:rPr>
                <w:sz w:val="20"/>
                <w:szCs w:val="20"/>
                <w:color w:val="auto"/>
              </w:rPr>
            </w:pPr>
            <w:r>
              <w:rPr>
                <w:rFonts w:ascii="Times New Roman" w:cs="Times New Roman" w:eastAsia="Times New Roman" w:hAnsi="Times New Roman"/>
                <w:sz w:val="18"/>
                <w:szCs w:val="18"/>
                <w:color w:val="auto"/>
                <w:w w:val="94"/>
              </w:rPr>
              <w:t>2022</w:t>
            </w:r>
          </w:p>
        </w:tc>
        <w:tc>
          <w:tcPr>
            <w:tcW w:w="11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35,176</w:t>
            </w:r>
          </w:p>
        </w:tc>
        <w:tc>
          <w:tcPr>
            <w:tcW w:w="100" w:type="dxa"/>
            <w:vAlign w:val="bottom"/>
          </w:tcPr>
          <w:p>
            <w:pPr>
              <w:spacing w:after="0"/>
              <w:rPr>
                <w:sz w:val="18"/>
                <w:szCs w:val="18"/>
                <w:color w:val="auto"/>
              </w:rPr>
            </w:pPr>
          </w:p>
        </w:tc>
      </w:tr>
      <w:tr>
        <w:trPr>
          <w:trHeight w:val="198"/>
        </w:trPr>
        <w:tc>
          <w:tcPr>
            <w:tcW w:w="10020" w:type="dxa"/>
            <w:vAlign w:val="bottom"/>
          </w:tcPr>
          <w:p>
            <w:pPr>
              <w:jc w:val="right"/>
              <w:ind w:right="9570"/>
              <w:spacing w:after="0" w:line="198" w:lineRule="exact"/>
              <w:rPr>
                <w:sz w:val="20"/>
                <w:szCs w:val="20"/>
                <w:color w:val="auto"/>
              </w:rPr>
            </w:pPr>
            <w:r>
              <w:rPr>
                <w:rFonts w:ascii="Times New Roman" w:cs="Times New Roman" w:eastAsia="Times New Roman" w:hAnsi="Times New Roman"/>
                <w:sz w:val="18"/>
                <w:szCs w:val="18"/>
                <w:color w:val="auto"/>
                <w:w w:val="94"/>
              </w:rPr>
              <w:t>2023</w:t>
            </w:r>
          </w:p>
        </w:tc>
        <w:tc>
          <w:tcPr>
            <w:tcW w:w="1120" w:type="dxa"/>
            <w:vAlign w:val="bottom"/>
            <w:shd w:val="clear" w:color="auto" w:fill="ECECEC"/>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43,320</w:t>
            </w:r>
          </w:p>
        </w:tc>
        <w:tc>
          <w:tcPr>
            <w:tcW w:w="100" w:type="dxa"/>
            <w:vAlign w:val="bottom"/>
          </w:tcPr>
          <w:p>
            <w:pPr>
              <w:spacing w:after="0"/>
              <w:rPr>
                <w:sz w:val="17"/>
                <w:szCs w:val="17"/>
                <w:color w:val="auto"/>
              </w:rPr>
            </w:pPr>
          </w:p>
        </w:tc>
      </w:tr>
      <w:tr>
        <w:trPr>
          <w:trHeight w:val="268"/>
        </w:trPr>
        <w:tc>
          <w:tcPr>
            <w:tcW w:w="10020" w:type="dxa"/>
            <w:vAlign w:val="bottom"/>
            <w:tcBorders>
              <w:bottom w:val="single" w:sz="8" w:color="auto"/>
            </w:tcBorders>
          </w:tcPr>
          <w:p>
            <w:pPr>
              <w:jc w:val="right"/>
              <w:ind w:right="9570"/>
              <w:spacing w:after="0"/>
              <w:rPr>
                <w:sz w:val="20"/>
                <w:szCs w:val="20"/>
                <w:color w:val="auto"/>
              </w:rPr>
            </w:pPr>
            <w:r>
              <w:rPr>
                <w:rFonts w:ascii="Times New Roman" w:cs="Times New Roman" w:eastAsia="Times New Roman" w:hAnsi="Times New Roman"/>
                <w:sz w:val="18"/>
                <w:szCs w:val="18"/>
                <w:color w:val="auto"/>
                <w:w w:val="94"/>
              </w:rPr>
              <w:t>2024</w:t>
            </w: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6,802</w:t>
            </w:r>
          </w:p>
        </w:tc>
        <w:tc>
          <w:tcPr>
            <w:tcW w:w="100" w:type="dxa"/>
            <w:vAlign w:val="bottom"/>
            <w:tcBorders>
              <w:bottom w:val="single" w:sz="8" w:color="auto"/>
            </w:tcBorders>
          </w:tcPr>
          <w:p>
            <w:pPr>
              <w:spacing w:after="0"/>
              <w:rPr>
                <w:sz w:val="23"/>
                <w:szCs w:val="23"/>
                <w:color w:val="auto"/>
              </w:rPr>
            </w:pPr>
          </w:p>
        </w:tc>
      </w:tr>
      <w:tr>
        <w:trPr>
          <w:trHeight w:val="250"/>
        </w:trPr>
        <w:tc>
          <w:tcPr>
            <w:tcW w:w="100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8"/>
                <w:szCs w:val="18"/>
                <w:b w:val="1"/>
                <w:bCs w:val="1"/>
                <w:color w:val="auto"/>
              </w:rPr>
              <w:t>85,298</w:t>
            </w:r>
          </w:p>
        </w:tc>
        <w:tc>
          <w:tcPr>
            <w:tcW w:w="100" w:type="dxa"/>
            <w:vAlign w:val="bottom"/>
            <w:tcBorders>
              <w:bottom w:val="single" w:sz="8" w:color="auto"/>
            </w:tcBorders>
          </w:tcPr>
          <w:p>
            <w:pPr>
              <w:spacing w:after="0"/>
              <w:rPr>
                <w:sz w:val="21"/>
                <w:szCs w:val="21"/>
                <w:color w:val="auto"/>
              </w:rPr>
            </w:pPr>
          </w:p>
        </w:tc>
      </w:tr>
    </w:tbl>
    <w:p>
      <w:pPr>
        <w:spacing w:after="0" w:line="198" w:lineRule="exact"/>
        <w:rPr>
          <w:sz w:val="20"/>
          <w:szCs w:val="20"/>
          <w:color w:val="auto"/>
        </w:rPr>
      </w:pPr>
    </w:p>
    <w:p>
      <w:pPr>
        <w:jc w:val="both"/>
        <w:ind w:left="20" w:hanging="4"/>
        <w:spacing w:after="0" w:line="256" w:lineRule="auto"/>
        <w:rPr>
          <w:sz w:val="20"/>
          <w:szCs w:val="20"/>
          <w:color w:val="auto"/>
        </w:rPr>
      </w:pPr>
      <w:r>
        <w:rPr>
          <w:rFonts w:ascii="Times New Roman" w:cs="Times New Roman" w:eastAsia="Times New Roman" w:hAnsi="Times New Roman"/>
          <w:sz w:val="18"/>
          <w:szCs w:val="18"/>
          <w:color w:val="auto"/>
        </w:rPr>
        <w:t>The Company’s credit facility, with an outstanding balance of $23.1 million as of September 30, 2022, is secured by BTC, with the minimum value of BTC pledged as collateral calculated as 135% of the amount borrowed. The Company is required to contribute additional collateral to the Lender any time the value of the BTC pledged as collateral is below 125% of the amount borrowed. The Company also has the right to require the Lender to return BTC when the value of the BTC pledged as collateral exceeds 145% of the amount borrowed. A substantial decrease in BTC price may result in the Company being unable to meet the minimum BTC collateral requirements, which could result in the disposition of the Company’s BTC pledged as collateral by the Lender or repayment of the facility in fiat currency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90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NYDIG equipment financing agreement, the Company must maintain in an identified wallet an approximate quantity of BTC whose value equates to one month of interest and principal payments on the outstanding loan.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is exposed to fluctuations in currency exchange rates which could negatively affect its financial condition and results of operations. Exchange rate fluctuations may affect the costs that the Company incurs in its operations. Cryptocurrencies are generally sold in U.S. dollars and the Company’s costs with respect to its Canadian and Argentine operations are incurred principally in Canadian dollars and the Argentine Peso, respectively. The appreciation of non-U.S. dollar currencies against the U.S. dollar in the future could increase the cost of Mining and the Company’s expansion activities in U.S. dollar terms. In addition, the Company holds cash balances in U.S. dollars, Canadian dollars and Argentine Pesos, the values of which are impacted by fluctuations in currency exchange rates. In particular, the Company expects to hold cash and significant value-added taxes receivable in Argentine Pesos. Historically, the Argentine Peso has devalued significantly when compared to the U.S. dollar due to high levels of inflation in Argentina, which may result in the Company incurring future foreign exchange losses on its Argentine Peso denominated balances. As described in the </w:t>
      </w:r>
      <w:r>
        <w:rPr>
          <w:rFonts w:ascii="Times New Roman" w:cs="Times New Roman" w:eastAsia="Times New Roman" w:hAnsi="Times New Roman"/>
          <w:sz w:val="18"/>
          <w:szCs w:val="18"/>
          <w:i w:val="1"/>
          <w:iCs w:val="1"/>
          <w:color w:val="auto"/>
        </w:rPr>
        <w:t>Argentina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Expansion </w:t>
      </w:r>
      <w:r>
        <w:rPr>
          <w:rFonts w:ascii="Times New Roman" w:cs="Times New Roman" w:eastAsia="Times New Roman" w:hAnsi="Times New Roman"/>
          <w:sz w:val="18"/>
          <w:szCs w:val="18"/>
          <w:color w:val="auto"/>
        </w:rPr>
        <w:t>section of this MD&amp;A, the power purchase agreements allow the power producer to renegotiate the rate if the ratio of the exchange rate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blue-chip swap mechanism used in Argentina to the official exchange rate is less than 1.50. As of September 30, 2022, the ratio was 2.07.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Concentration risk arises as a result of the concentration of exposures within the same category, whether it is geographical location, product type, industry sector or counterparty type. The cryptocurrency mining industry is highly volatile with significant inherent risk. The Company also holds a significant portion of its working capital in BTC and has a revolving credit facility collateralized by BTC and subject to margin calls. A significant decline in the market prices of cryptocurrencies, an increase in the difficulty of cryptocurrency mining, changes in the regulatory environment and adverse changes in other inherent risks can significantly negatively impact the Company’s operations and the carrying value of its assets. The Company does not currently hedge the conversion of cryptocurrencies to fiat currency.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digital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BTC is mined to multi-signature wallets that the Company controls. On a regular basis, the Company transfers BTC from its multi-signature wallets to an external third-party custodian, Coinbase Custody, LLC (“Coinbase Custody”). Coinbase Custody is a US-based fiduciary and qualified custodian under New York Banking Law and is licensed by the State of New York to custody digital assets. Currently, Coinbase Custody provides only custodial services to the Company and does not use a sub-custodian. Coinbase Custody is not a related party to the Company. Coinbase Custody is a fiduciary of § 100 of the New York Banking Law and is licensed to custody its clients’ digital assets in trust on their behalf. Coinbase Custody is a qualified custodian for purposes of § 206 (4) -2(d)(6) of the U.S. Investment Advisers Act of 1940, as amended.</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early January 2021, the Company implemented a BTC asset management program with approval from the BOD to sell BTC to manage liquidity levels as described in the </w:t>
      </w:r>
      <w:r>
        <w:rPr>
          <w:rFonts w:ascii="Times New Roman" w:cs="Times New Roman" w:eastAsia="Times New Roman" w:hAnsi="Times New Roman"/>
          <w:sz w:val="18"/>
          <w:szCs w:val="18"/>
          <w:i w:val="1"/>
          <w:iCs w:val="1"/>
          <w:color w:val="auto"/>
        </w:rPr>
        <w:t>Digital Asset Management Program</w:t>
      </w:r>
      <w:r>
        <w:rPr>
          <w:rFonts w:ascii="Times New Roman" w:cs="Times New Roman" w:eastAsia="Times New Roman" w:hAnsi="Times New Roman"/>
          <w:sz w:val="18"/>
          <w:szCs w:val="18"/>
          <w:color w:val="auto"/>
        </w:rPr>
        <w:t xml:space="preserve"> section above, pursuant to which the Company has accumulated 2,044 BTC, net of BTC sales, valued at $34.8 million to its balance sheet as of November 11, 2022. As of the date of this MD&amp;A, 99% of the Company’s BTC are held in custody with Coinbase Custody or held as collateral within Coinbase Custody by NYDIG and Galaxy Digital LLC, the counterparties to the Company’s equipment financing and revolving credit facility, respectively.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Coinbase Custody maintains an insurance policy of $320 million for its cold storage; however, the Company cannot ensure that the limits of this policy would be available to the Company or, if available, sufficient to make the Company whole for any BTC that are lost or stolen. The Company is unaware of:</w:t>
      </w:r>
    </w:p>
    <w:p>
      <w:pPr>
        <w:jc w:val="both"/>
        <w:ind w:firstLine="8"/>
        <w:spacing w:after="0" w:line="251" w:lineRule="auto"/>
        <w:tabs>
          <w:tab w:leader="none" w:pos="2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breaches involving Coinbase Custody which have resulted in the Company’s crypto assets being lost or stolen, and (ii) anything with regards to Coinbase Custody’s operations that would adversely affect the Company’s ability to obtain an unqualified audit opinion on its audited financial statements. The Company’s crypto assets held in custody with Coinbase may not be recoverable in the event of bankruptcy by Coinbase or its affiliates. In its quarterly report, on Form 10-Q, filed with the U.S. Securities Exchange Commission on November 3, 2022, Coinbase disclosed that, in the event of a bankruptcy, custodially held crypto assets could be considered to be the property of the bankruptcy estate and that the crypto assets held in custody could be subject to bankruptcy proceedings with Coinbase Custody’s customers being treated as general unsecured creditors. Further, regardless of efforts made by the Company to securely store and safeguard assets, there can be no assurance that the Company’s cryptocurrency assets will not be defalcated through hacking or other forms of theft.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90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and is affected by several factors which could have a material adverse effect on the Company’s business, financial condition, operating results, and/or future prospects. These risks should be considered when evaluating an investment in the Company and may, among other things, cause a decline in the price of the Corporation’s shares.</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risks and uncertainties which Management considers as the most material to the Corporation’s business are described in the section entitled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Risks </w:t>
      </w:r>
      <w:r>
        <w:rPr>
          <w:rFonts w:ascii="Times New Roman" w:cs="Times New Roman" w:eastAsia="Times New Roman" w:hAnsi="Times New Roman"/>
          <w:sz w:val="18"/>
          <w:szCs w:val="18"/>
          <w:color w:val="auto"/>
        </w:rPr>
        <w:t>of the Company’s Management’s Discussion and Analysis for the year-ended December 31, 2021 dated March 28, 2022. Other than the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these risks and uncertainties have not materially changed, other than the risk described below, and are hereby incorporated by reference.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Possibility of Bitcoin mining algorithms transitioning to proof of stake validation and other mining related risks, which could make Bitfarms less competitive and ultimately adversely affect Bitfarms’ business</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Proof of stake is an alternative method in validating cryptocurrency transactions. Should the algorithm shift from a proof of work validation method to a proof of stake method, mining would require less energy and may render any company that maintains advantages in the current climate (lower priced electricity, processing, real estate, or hosting) less competitive. Bitfarms, as a result of its efforts to optimize and improve the efficiency of its Bitcoin mining operations, may be exposed to the risk in the future of losing the benefit of Bitfarms’ capital investments and the competitive advantage Bitfarms hopes to gain from this as a result, and may be negatively impacted if a switch to proof of stake validation were to occur. Such events could have a material adverse effect on Bitfarms’ ability to continue as a going concern or to pursue its new strategy at all, which could have a material adverse effect on Bitfarms’ business, prospects or operations and potentially the value of any Bitcoin that Bitfarms mines or otherwise acquires or holds for its own account.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the Company had the following transactions with related parties: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made rent payments totaling approximately $0.1 million and $0.3 million for the three and nine months ended September 30, 2022, respectively (three and nine months ended September 30, 2021: $0.1 million and $0.4 million, respectively), to companies controlled by certain directors.</w:t>
      </w:r>
    </w:p>
    <w:p>
      <w:pPr>
        <w:spacing w:after="0" w:line="20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Bitfarms entered into consulting agreements with two of the directors. The consulting fees charged by directors totaled approximately $0.4 million and $0.8 million for three and nine months ended September 30, 2022, respectively (three and nine months ended September 30, 2021: $0.2 million and $0.5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transactions listed above were incurred in the normal course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90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and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period from October 1, 2022, to November 14, 2022, the Company issued 1,861,000 common shares in exchange for gross proceeds of $1.9 million at an average share price of approximately USD$1.04. The Company received net proceeds of $1.8 million after paying commissions of $0.1 million to the Company’s agent.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agreement of De la Pointe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12, 2022, the Company signed an offer to purchase with a third party to sell the De la Pointe building, included in property, plant and equipment, for $3.6 million (CAD $5.0 million), which is expected to result in a gain on disposition of approximately $0.3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 of lease in Washington state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October 20, 2022, the Company signed a lease extension for its facility in Washington state for a period of 23 months with similar terms, which has taken effect in November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unaudited interim condensed consolidated financial statements have been prepared in accordance with IAS 34, “Interim Financial Reporting,” as issued by the International Accounting Standards Board and are based on the same accounting policies as those used in the preparation of the Company’s audited consolidated financial statements for the year ended December 31, 2021.</w:t>
      </w:r>
    </w:p>
    <w:p>
      <w:pPr>
        <w:spacing w:after="0" w:line="17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Please refer to Note 2, </w:t>
      </w:r>
      <w:r>
        <w:rPr>
          <w:rFonts w:ascii="Times New Roman" w:cs="Times New Roman" w:eastAsia="Times New Roman" w:hAnsi="Times New Roman"/>
          <w:sz w:val="18"/>
          <w:szCs w:val="18"/>
          <w:i w:val="1"/>
          <w:iCs w:val="1"/>
          <w:color w:val="auto"/>
        </w:rPr>
        <w:t>Basis of presentation and significant accounting policies</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Significant accounting judgement and estimates</w:t>
      </w:r>
      <w:r>
        <w:rPr>
          <w:rFonts w:ascii="Times New Roman" w:cs="Times New Roman" w:eastAsia="Times New Roman" w:hAnsi="Times New Roman"/>
          <w:sz w:val="18"/>
          <w:szCs w:val="18"/>
          <w:color w:val="auto"/>
        </w:rPr>
        <w:t>, of the Company’s 2021 audited consolidated financial statements for more information about the significant accounting policies and the significant accounting judgments and estimates used to prepare the unaudited interim condensed consolidated financial statements,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MD&amp;A contains forward-looking statements about the Company’s objectives, plans, goals, aspirations, strategies, financial condition, results of operations, cash flows, performance, prospects, opportunities and legal and regulatory matters. Specific forward-looking statements in this MD&amp;A include, but are not limited to, statements with respect to the Company’s anticipated future results, events and plans, strategic initiatives, future liquidity, and planned capital investments. Forward-looking statements are typically identified by words such as “expect”, “anticipate”, “believe”, “foresee”, “could”, “estimate”, “goal”, “intend”, “plan”, “seek”, “strive”, “will”, “may”, “maintain”, “achieve”, “grow”, “should” and similar expressions, as they relate to the Company and its management.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Forward-looking statements reflect the Company’s current estimates, beliefs and assumptions, which are based on management’s perception of historical trends, current conditions and expected future developments, as well as other factors it believes are appropriate in the circumstances. The Company’s expectation of operating and financial performance is based on certain assumptions including assumptions about operational growth, anticipated cost savings, operating efficiencies, anticipated benefits from strategic initiatives, future liquidity, and planned capital investments. The Company’s estimates, beliefs and assumptions are inherently subject to significant business, economic, competitive and other uncertainties and contingencies regarding future events and as such, are subject to change. The Company can give no assurance that such estimates, beliefs and assumptions will prove to be correct.</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Numerous risks and uncertainties could cause the Company’s actual results to differ materially from those expressed, implied or projected in the forward-looking statements. Such risks and uncertainties include:</w:t>
      </w:r>
    </w:p>
    <w:p>
      <w:pPr>
        <w:spacing w:after="0" w:line="162"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BTC Halving event;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 19 pandemic;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financing opportunities and risks associated with economic conditions, including BTC price and BTC network difficulty;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competitive nature of the technology sector;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in continued growth in blockchain and cryptocurrency usage;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 and share price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threats and hacking;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shareholder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technological obsolescence and difficulty in obtaining hardware;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dependence on regulated terms of service and electricity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 or reductions in the availability of such commodities could adversely impact our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and licenses;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failures;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financial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consequences;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regulations and liability;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 transactions and human error;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non-availability of insurance;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and other legal proceedings and challenges;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of interests with directors and management;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regulatory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ESG practices and the impacts of climate change;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supplier risks;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beyond the Company’s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90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is not an exhaustive list of the factors that may affect the Company’s forward-looking statements. For a complete list of factors that could affect the Company, please refer to the risk factors contained in the section “Risk Factors” of the Annual Information Form of the Company dated March 28, 2022. Other risks and uncertainties not presently known to the Company or that the Company presently believes are not material could also cause actual results or events to differ materially from those expressed in its forward-looking statements. Readers are cautioned not to place undue reliance on these forward-looking statements, which reflect the Company’s expectations only as of the date of this MD&amp;A. Except as required by law, the Company does not undertake to update or revise any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Regarding Non-IFRS Financial Performance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MD&amp;A makes reference to certain measures that are not recognized under IFRS and do not have a standardized meaning prescribed by IFRS. They are therefore unlikely to be comparable to similar measures presented by other companies. The Company uses non-IFRS measures including “EBITDA,” “EBITDA margin,” “Adjusted EBITDA,” “Adjusted EBITDA margin,” “Gross mining profit,” and “Gross mining margin” as additional information to complement IFRS measures by providing further understanding of the Company’s results of operations from management’s perspective.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EBITDA and EBITDA margin are common measures used to assess profitability before the impact of different financing methods, income taxes, depreciation of capital assets and amortization of intangible assets. Adjusted EBITDA and Adjusted EBITDA margin are measures used to assess profitability before the impact of all of the items in calculating EBITDA in addition to certain other non-cash expenses. Gross mining profit and Gross mining margin are measures used to assess profitability after power costs in cryptocurrency production, the largest variable expense in Mining. Management uses non-IFRS measures in order to facilitate operating performance comparisons from period to period and to prepare annual operating budgets.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“EBITDA” is defined as net income (loss) before: (i) interest expense; (ii) income tax expense; and (iii) depreciation and amortization. “EBITDA margin” is defined as the percentage obtained when dividing EBITDA by Revenues. “Adjusted EBITDA” is defined as EBITDA adjusted to exclude: (i) share-based compensation; (ii) non-cash finance expenses; (iii) asset impairment charges; (iv) realized and change in unrealized gains or losses on disposition and revaluation of digital assets; (v) gain on disposition of marketable securities; and (vi) other non-cash expenses. “Adjusted EBITDA margin” is defined as the percentage obtained when dividing Adjusted EBITDA by Revenues. “Gross mining profit” is defined as Gross Profit before: (i) non-mining revenues;</w:t>
      </w:r>
    </w:p>
    <w:p>
      <w:pPr>
        <w:spacing w:after="0" w:line="3" w:lineRule="exact"/>
        <w:rPr>
          <w:sz w:val="20"/>
          <w:szCs w:val="20"/>
          <w:color w:val="auto"/>
        </w:rPr>
      </w:pPr>
    </w:p>
    <w:p>
      <w:pPr>
        <w:ind w:firstLine="8"/>
        <w:spacing w:after="0" w:line="260"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(iii) purchase of electrical components and other expenses; and (iv) electrician salaries and payroll taxes. “Gross mining margin” is defined as the percentage obtained when dividing Gross mining profit by Mining related revenues.</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measures are provided as additional information to complement IFRS measures by providing further understanding of the Company’s results of operations from management’s perspective. Accordingly, they should not be considered in isolation nor as a substitute for analysis of the Company’s financial information reported under IFRS. Reconciliations from IFRS measures to non-IFRS measures are included throughout this MD&amp;A.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that have materially affected, or are reasonably likely to materially affect, the Company’s internal control over financial reporting during the quarter ended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and other publicly filed documents relating to the Company are available through the internet on SEDAR at www.sedar.com.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90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U.S. dollars, except where otherwise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ASIC: </w:t>
      </w:r>
      <w:r>
        <w:rPr>
          <w:rFonts w:ascii="Times New Roman" w:cs="Times New Roman" w:eastAsia="Times New Roman" w:hAnsi="Times New Roman"/>
          <w:sz w:val="18"/>
          <w:szCs w:val="18"/>
          <w:color w:val="auto"/>
        </w:rPr>
        <w:t>ASIC stands for Application Specific Integrated Circuit and refers primarily to specific computer devices designed to solve the SHA-256 algorithm,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well as other machines used in the Mining of Litecoin which use the Scrypt algorithm.</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Bitcoin (BTC): </w:t>
      </w:r>
      <w:r>
        <w:rPr>
          <w:rFonts w:ascii="Times New Roman" w:cs="Times New Roman" w:eastAsia="Times New Roman" w:hAnsi="Times New Roman"/>
          <w:sz w:val="18"/>
          <w:szCs w:val="18"/>
          <w:color w:val="auto"/>
        </w:rPr>
        <w:t>BTC is a decentralized digital currency that is not controlled by any centralized authority (e.g. a government, financial institution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organization) that can be sent from user to user on the BTC network without the need for intermediaries to clear transactions. Transactions are verified through the process of Mining and recorded in a public ledger known as the Blockchain. BTC is created when the BTC network issues Block Rewards through the Mining process.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Block Reward: </w:t>
      </w:r>
      <w:r>
        <w:rPr>
          <w:rFonts w:ascii="Times New Roman" w:cs="Times New Roman" w:eastAsia="Times New Roman" w:hAnsi="Times New Roman"/>
          <w:sz w:val="18"/>
          <w:szCs w:val="18"/>
          <w:color w:val="auto"/>
        </w:rPr>
        <w:t>A BTC block reward refers to the new BTC that are awarded by the Blockchain network to eligible cryptocurrency miners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block they successfully mine. The current block reward is 6.25 BTC per block.</w:t>
      </w:r>
    </w:p>
    <w:p>
      <w:pPr>
        <w:spacing w:after="0" w:line="1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Blockchain: </w:t>
      </w:r>
      <w:r>
        <w:rPr>
          <w:rFonts w:ascii="Times New Roman" w:cs="Times New Roman" w:eastAsia="Times New Roman" w:hAnsi="Times New Roman"/>
          <w:sz w:val="18"/>
          <w:szCs w:val="18"/>
          <w:color w:val="auto"/>
        </w:rPr>
        <w:t>A Blockchain is a cloud-based public ledger that exists on computers that participate on the network globally. The Blockchain grows as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sets of data, or ‘blocks’, are added to it through Mining. Each block contains a timestamp and a link to the previous block, such that the series of blocks form a continuous chain. Given that each block has a separate hash and each hash requires information from the previous block, altering information an established block would require recalculating all the hashes on the Blockchain which would require an enormous and impracticable amount of computing power. As a result, once a block is added to the Blockchain it is very difficult to edit and impossible to delete.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Exahash: </w:t>
      </w:r>
      <w:r>
        <w:rPr>
          <w:rFonts w:ascii="Times New Roman" w:cs="Times New Roman" w:eastAsia="Times New Roman" w:hAnsi="Times New Roman"/>
          <w:sz w:val="18"/>
          <w:szCs w:val="18"/>
          <w:color w:val="auto"/>
        </w:rPr>
        <w:t>One quintillion (1,000,000,000,000,000,000) hashes per second or one million Terahash.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Hash: </w:t>
      </w:r>
      <w:r>
        <w:rPr>
          <w:rFonts w:ascii="Times New Roman" w:cs="Times New Roman" w:eastAsia="Times New Roman" w:hAnsi="Times New Roman"/>
          <w:sz w:val="18"/>
          <w:szCs w:val="18"/>
          <w:color w:val="auto"/>
        </w:rPr>
        <w:t>A hash is a function that converts or maps an input of letters and numbers into an encrypted output of a fixed length, which outputs are often 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as hashes. A hash is created using an algorithm. The algorithm used in the validation of BTC transactions is the SHA-256 algorithm.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Hashrate: </w:t>
      </w:r>
      <w:r>
        <w:rPr>
          <w:rFonts w:ascii="Times New Roman" w:cs="Times New Roman" w:eastAsia="Times New Roman" w:hAnsi="Times New Roman"/>
          <w:sz w:val="18"/>
          <w:szCs w:val="18"/>
          <w:color w:val="auto"/>
        </w:rPr>
        <w:t>Hashrate refers to the number of hash operations performed per second and is a measure of computing power in Mining cryptocurrency.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Megawatt: </w:t>
      </w:r>
      <w:r>
        <w:rPr>
          <w:rFonts w:ascii="Times New Roman" w:cs="Times New Roman" w:eastAsia="Times New Roman" w:hAnsi="Times New Roman"/>
          <w:sz w:val="18"/>
          <w:szCs w:val="18"/>
          <w:color w:val="auto"/>
        </w:rPr>
        <w:t>A megawatt is 1,000 kilowatts of electricity and, in the industry of cryptocurrency Mining, is typically a reference to the number of megawatts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electricity per hour that is available for use.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Miners: </w:t>
      </w:r>
      <w:r>
        <w:rPr>
          <w:rFonts w:ascii="Times New Roman" w:cs="Times New Roman" w:eastAsia="Times New Roman" w:hAnsi="Times New Roman"/>
          <w:sz w:val="18"/>
          <w:szCs w:val="18"/>
          <w:color w:val="auto"/>
        </w:rPr>
        <w:t>ASICs used by the Company to perform Mining.</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Mining: </w:t>
      </w:r>
      <w:r>
        <w:rPr>
          <w:rFonts w:ascii="Times New Roman" w:cs="Times New Roman" w:eastAsia="Times New Roman" w:hAnsi="Times New Roman"/>
          <w:sz w:val="18"/>
          <w:szCs w:val="18"/>
          <w:color w:val="auto"/>
        </w:rPr>
        <w:t>Mining refers to the process of using specialized computer hardware, and in the case of the Company, ASICs, to perform mathematical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calculations to confirm transactions and increase security for the BTC Blockchain. As a reward for their services, BTC Miners collect transaction fees for the transactions they confirm, along with newly created BTC as Block Rewards.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Mining Pool: </w:t>
      </w:r>
      <w:r>
        <w:rPr>
          <w:rFonts w:ascii="Times New Roman" w:cs="Times New Roman" w:eastAsia="Times New Roman" w:hAnsi="Times New Roman"/>
          <w:sz w:val="18"/>
          <w:szCs w:val="18"/>
          <w:color w:val="auto"/>
        </w:rPr>
        <w:t>A Mining pool is a group of cryptocurrency miners who pool their computational resources, or Hashrate, in order to increase the probability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finding a block on the BTC Blockchain. Mining pools administer regular payouts to mitigate the risk of Miners operating for a prolonged period of time without finding a block.</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Network Difficulty: </w:t>
      </w:r>
      <w:r>
        <w:rPr>
          <w:rFonts w:ascii="Times New Roman" w:cs="Times New Roman" w:eastAsia="Times New Roman" w:hAnsi="Times New Roman"/>
          <w:sz w:val="18"/>
          <w:szCs w:val="18"/>
          <w:color w:val="auto"/>
        </w:rPr>
        <w:t>Network difficulty is a unitless measure of how difficult it is to find a hash below a given target. The BTC network protocol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adjusts Network Difficulty by changing the target every 2,016 blocks hashed based on the time it took for the total computing power used in BTC Mining to solve the previous 2,016 blocks such that the average time to solve each block is ten minutes.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Network Hashrate: </w:t>
      </w:r>
      <w:r>
        <w:rPr>
          <w:rFonts w:ascii="Times New Roman" w:cs="Times New Roman" w:eastAsia="Times New Roman" w:hAnsi="Times New Roman"/>
          <w:sz w:val="18"/>
          <w:szCs w:val="18"/>
          <w:color w:val="auto"/>
        </w:rPr>
        <w:t>Network Hashrate refers to the total global Hashrate (and related computing power) used in Mining for a given cryptocurrency.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Petahash: </w:t>
      </w:r>
      <w:r>
        <w:rPr>
          <w:rFonts w:ascii="Times New Roman" w:cs="Times New Roman" w:eastAsia="Times New Roman" w:hAnsi="Times New Roman"/>
          <w:sz w:val="18"/>
          <w:szCs w:val="18"/>
          <w:color w:val="auto"/>
        </w:rPr>
        <w:t>One quadrillion (1,000,000,000,000,000) hashes per second or one thousand Terahash.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SHA-256: </w:t>
      </w:r>
      <w:r>
        <w:rPr>
          <w:rFonts w:ascii="Times New Roman" w:cs="Times New Roman" w:eastAsia="Times New Roman" w:hAnsi="Times New Roman"/>
          <w:sz w:val="18"/>
          <w:szCs w:val="18"/>
          <w:color w:val="auto"/>
        </w:rPr>
        <w:t>SHA stands for Secure Hash Algorithm. The SHA-256 algorithm was designed by the US National Security Agency and is the cryptographic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hash function used within the BTC network to validate transactions on the BTC Blockchain.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Terahash: </w:t>
      </w:r>
      <w:r>
        <w:rPr>
          <w:rFonts w:ascii="Times New Roman" w:cs="Times New Roman" w:eastAsia="Times New Roman" w:hAnsi="Times New Roman"/>
          <w:sz w:val="18"/>
          <w:szCs w:val="18"/>
          <w:color w:val="auto"/>
        </w:rPr>
        <w:t>One trillion (1,000,000,000,000) hashes per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90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 FULL CERTIFICATE</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 Emiliano Grodzki, Chief Executive Officer of Bitfarms Ltd., certify the following:</w:t>
      </w:r>
    </w:p>
    <w:p>
      <w:pPr>
        <w:spacing w:after="0" w:line="221" w:lineRule="exact"/>
        <w:rPr>
          <w:sz w:val="20"/>
          <w:szCs w:val="20"/>
          <w:color w:val="auto"/>
        </w:rPr>
      </w:pPr>
    </w:p>
    <w:p>
      <w:pPr>
        <w:ind w:left="780" w:hanging="327"/>
        <w:spacing w:after="0" w:line="286"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September 30, 2022.</w:t>
      </w:r>
    </w:p>
    <w:p>
      <w:pPr>
        <w:spacing w:after="0" w:line="154" w:lineRule="exact"/>
        <w:rPr>
          <w:rFonts w:ascii="Times New Roman" w:cs="Times New Roman" w:eastAsia="Times New Roman" w:hAnsi="Times New Roman"/>
          <w:sz w:val="18"/>
          <w:szCs w:val="18"/>
          <w:color w:val="auto"/>
        </w:rPr>
      </w:pPr>
    </w:p>
    <w:p>
      <w:pPr>
        <w:jc w:val="both"/>
        <w:ind w:left="780" w:hanging="327"/>
        <w:spacing w:after="0" w:line="268" w:lineRule="auto"/>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760" w:hanging="307"/>
        <w:spacing w:after="0" w:line="26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760" w:hanging="307"/>
        <w:spacing w:after="0" w:line="268"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760" w:hanging="307"/>
        <w:spacing w:after="0" w:line="28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period covered by the interim filings:</w:t>
      </w:r>
    </w:p>
    <w:p>
      <w:pPr>
        <w:spacing w:after="0" w:line="158" w:lineRule="exact"/>
        <w:rPr>
          <w:rFonts w:ascii="Times New Roman" w:cs="Times New Roman" w:eastAsia="Times New Roman" w:hAnsi="Times New Roman"/>
          <w:sz w:val="18"/>
          <w:szCs w:val="18"/>
          <w:color w:val="auto"/>
        </w:rPr>
      </w:pPr>
    </w:p>
    <w:p>
      <w:pPr>
        <w:ind w:left="1080" w:hanging="303"/>
        <w:spacing w:after="0"/>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740" w:hanging="639"/>
        <w:spacing w:after="0" w:line="282" w:lineRule="auto"/>
        <w:tabs>
          <w:tab w:leader="none" w:pos="174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jc w:val="both"/>
        <w:ind w:left="1740" w:hanging="639"/>
        <w:spacing w:after="0" w:line="275" w:lineRule="auto"/>
        <w:tabs>
          <w:tab w:leader="none" w:pos="174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389" w:lineRule="exact"/>
        <w:rPr>
          <w:rFonts w:ascii="Times New Roman" w:cs="Times New Roman" w:eastAsia="Times New Roman" w:hAnsi="Times New Roman"/>
          <w:sz w:val="18"/>
          <w:szCs w:val="18"/>
          <w:color w:val="auto"/>
        </w:rPr>
      </w:pPr>
    </w:p>
    <w:p>
      <w:pPr>
        <w:ind w:left="1080" w:hanging="303"/>
        <w:spacing w:after="0" w:line="282" w:lineRule="auto"/>
        <w:tabs>
          <w:tab w:leader="none" w:pos="10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760" w:hanging="310"/>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5.2 ICFR - material weakness relating to design: N/A</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225" w:lineRule="exact"/>
        <w:rPr>
          <w:sz w:val="20"/>
          <w:szCs w:val="20"/>
          <w:color w:val="auto"/>
        </w:rPr>
      </w:pPr>
    </w:p>
    <w:p>
      <w:pPr>
        <w:jc w:val="both"/>
        <w:ind w:left="760" w:hanging="307"/>
        <w:spacing w:after="0" w:line="268"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July 1, 2022 and ended on September 30, 2022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“Emiliano Grodzki”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Emiliano Grodzki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52-109F2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 OF INTERIM FILINGS FULL CERTIFICATE</w:t>
      </w:r>
    </w:p>
    <w:p>
      <w:pPr>
        <w:spacing w:after="0" w:line="20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 Jeffrey Lucas, Chief Financial Officer of Bitfarms Ltd., certify the following:</w:t>
      </w:r>
    </w:p>
    <w:p>
      <w:pPr>
        <w:spacing w:after="0" w:line="221" w:lineRule="exact"/>
        <w:rPr>
          <w:sz w:val="20"/>
          <w:szCs w:val="20"/>
          <w:color w:val="auto"/>
        </w:rPr>
      </w:pPr>
    </w:p>
    <w:p>
      <w:pPr>
        <w:ind w:left="780" w:hanging="327"/>
        <w:spacing w:after="0" w:line="286" w:lineRule="auto"/>
        <w:tabs>
          <w:tab w:leader="none" w:pos="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Review: </w:t>
      </w:r>
      <w:r>
        <w:rPr>
          <w:rFonts w:ascii="Times New Roman" w:cs="Times New Roman" w:eastAsia="Times New Roman" w:hAnsi="Times New Roman"/>
          <w:sz w:val="18"/>
          <w:szCs w:val="18"/>
          <w:color w:val="auto"/>
        </w:rPr>
        <w:t>I have reviewed the interim financial report and interim MD&amp;A (together, the “interim filings”) of Bitfarms Ltd. (the “issuer”)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interim period ended September 30, 2022.</w:t>
      </w:r>
    </w:p>
    <w:p>
      <w:pPr>
        <w:spacing w:after="0" w:line="154" w:lineRule="exact"/>
        <w:rPr>
          <w:rFonts w:ascii="Times New Roman" w:cs="Times New Roman" w:eastAsia="Times New Roman" w:hAnsi="Times New Roman"/>
          <w:sz w:val="18"/>
          <w:szCs w:val="18"/>
          <w:color w:val="auto"/>
        </w:rPr>
      </w:pPr>
    </w:p>
    <w:p>
      <w:pPr>
        <w:jc w:val="both"/>
        <w:ind w:left="760" w:hanging="307"/>
        <w:spacing w:after="0" w:line="26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misrepresentations: </w:t>
      </w:r>
      <w:r>
        <w:rPr>
          <w:rFonts w:ascii="Times New Roman" w:cs="Times New Roman" w:eastAsia="Times New Roman" w:hAnsi="Times New Roman"/>
          <w:sz w:val="18"/>
          <w:szCs w:val="18"/>
          <w:color w:val="auto"/>
        </w:rPr>
        <w:t>Based on my knowledge, having exercised reasonable diligence, the interim filings do not contain any untrue statement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 material fact or omit to state a material fact required to be stated or that is necessary to make a statement not misleading in light of the circumstances under which it was made, with respect to the period covered by the interim filings.</w:t>
      </w:r>
    </w:p>
    <w:p>
      <w:pPr>
        <w:spacing w:after="0" w:line="170" w:lineRule="exact"/>
        <w:rPr>
          <w:rFonts w:ascii="Times New Roman" w:cs="Times New Roman" w:eastAsia="Times New Roman" w:hAnsi="Times New Roman"/>
          <w:sz w:val="18"/>
          <w:szCs w:val="18"/>
          <w:color w:val="auto"/>
        </w:rPr>
      </w:pPr>
    </w:p>
    <w:p>
      <w:pPr>
        <w:jc w:val="both"/>
        <w:ind w:left="760" w:hanging="307"/>
        <w:spacing w:after="0" w:line="26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Fair presentation: </w:t>
      </w:r>
      <w:r>
        <w:rPr>
          <w:rFonts w:ascii="Times New Roman" w:cs="Times New Roman" w:eastAsia="Times New Roman" w:hAnsi="Times New Roman"/>
          <w:sz w:val="18"/>
          <w:szCs w:val="18"/>
          <w:color w:val="auto"/>
        </w:rPr>
        <w:t>Based on my knowledge, having exercised reasonable diligence, the interim financial report together with the other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included in the interim filings fairly present in all material respects the financial condition, financial performance and cash flows of the issuer, as of the date of and for the periods presented in the interim filings.</w:t>
      </w:r>
    </w:p>
    <w:p>
      <w:pPr>
        <w:spacing w:after="0" w:line="170" w:lineRule="exact"/>
        <w:rPr>
          <w:rFonts w:ascii="Times New Roman" w:cs="Times New Roman" w:eastAsia="Times New Roman" w:hAnsi="Times New Roman"/>
          <w:sz w:val="18"/>
          <w:szCs w:val="18"/>
          <w:color w:val="auto"/>
        </w:rPr>
      </w:pPr>
    </w:p>
    <w:p>
      <w:pPr>
        <w:jc w:val="both"/>
        <w:ind w:left="760" w:hanging="307"/>
        <w:spacing w:after="0" w:line="268"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Responsibility: </w:t>
      </w:r>
      <w:r>
        <w:rPr>
          <w:rFonts w:ascii="Times New Roman" w:cs="Times New Roman" w:eastAsia="Times New Roman" w:hAnsi="Times New Roman"/>
          <w:sz w:val="18"/>
          <w:szCs w:val="18"/>
          <w:color w:val="auto"/>
        </w:rPr>
        <w:t>The issuer’s other certifying officer(s) and I are responsible for establishing and maintaining disclosure controls and procedures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(DC&amp;P) and internal control over financial reporting (ICFR), as those terms are defined in </w:t>
      </w:r>
      <w:r>
        <w:rPr>
          <w:rFonts w:ascii="Times New Roman" w:cs="Times New Roman" w:eastAsia="Times New Roman" w:hAnsi="Times New Roman"/>
          <w:sz w:val="18"/>
          <w:szCs w:val="18"/>
          <w:i w:val="1"/>
          <w:iCs w:val="1"/>
          <w:color w:val="auto"/>
        </w:rPr>
        <w:t>National Instrument 52-109 Certification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in Issuers’ Annual and Interim Filings</w:t>
      </w:r>
      <w:r>
        <w:rPr>
          <w:rFonts w:ascii="Times New Roman" w:cs="Times New Roman" w:eastAsia="Times New Roman" w:hAnsi="Times New Roman"/>
          <w:sz w:val="18"/>
          <w:szCs w:val="18"/>
          <w:color w:val="auto"/>
        </w:rPr>
        <w:t>, for the issuer.</w:t>
      </w:r>
    </w:p>
    <w:p>
      <w:pPr>
        <w:spacing w:after="0" w:line="170" w:lineRule="exact"/>
        <w:rPr>
          <w:rFonts w:ascii="Times New Roman" w:cs="Times New Roman" w:eastAsia="Times New Roman" w:hAnsi="Times New Roman"/>
          <w:sz w:val="18"/>
          <w:szCs w:val="18"/>
          <w:color w:val="auto"/>
        </w:rPr>
      </w:pPr>
    </w:p>
    <w:p>
      <w:pPr>
        <w:ind w:left="760" w:hanging="307"/>
        <w:spacing w:after="0" w:line="28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Design: </w:t>
      </w:r>
      <w:r>
        <w:rPr>
          <w:rFonts w:ascii="Times New Roman" w:cs="Times New Roman" w:eastAsia="Times New Roman" w:hAnsi="Times New Roman"/>
          <w:sz w:val="18"/>
          <w:szCs w:val="18"/>
          <w:color w:val="auto"/>
        </w:rPr>
        <w:t>Subject to the limitations, if any, described in paragraphs 5.2 and 5.3, the issuer’s other certifying officer(s) and I have, as at the end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period covered by the interim filings:</w:t>
      </w:r>
    </w:p>
    <w:p>
      <w:pPr>
        <w:spacing w:after="0" w:line="158" w:lineRule="exact"/>
        <w:rPr>
          <w:rFonts w:ascii="Times New Roman" w:cs="Times New Roman" w:eastAsia="Times New Roman" w:hAnsi="Times New Roman"/>
          <w:sz w:val="18"/>
          <w:szCs w:val="18"/>
          <w:color w:val="auto"/>
        </w:rPr>
      </w:pPr>
    </w:p>
    <w:p>
      <w:pPr>
        <w:ind w:left="1080" w:hanging="303"/>
        <w:spacing w:after="0"/>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DC&amp;P, or caused it to be designed under our supervision, to provide reasonable assurance that:</w:t>
      </w:r>
    </w:p>
    <w:p>
      <w:pPr>
        <w:spacing w:after="0" w:line="225" w:lineRule="exact"/>
        <w:rPr>
          <w:rFonts w:ascii="Times New Roman" w:cs="Times New Roman" w:eastAsia="Times New Roman" w:hAnsi="Times New Roman"/>
          <w:sz w:val="18"/>
          <w:szCs w:val="18"/>
          <w:color w:val="auto"/>
        </w:rPr>
      </w:pPr>
    </w:p>
    <w:p>
      <w:pPr>
        <w:ind w:left="1740" w:hanging="639"/>
        <w:spacing w:after="0" w:line="282" w:lineRule="auto"/>
        <w:tabs>
          <w:tab w:leader="none" w:pos="17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information relating to the issuer is made known to us by others, particularly during the period in which the interim filings are being prepared; and</w:t>
      </w:r>
    </w:p>
    <w:p>
      <w:pPr>
        <w:spacing w:after="0" w:line="161" w:lineRule="exact"/>
        <w:rPr>
          <w:rFonts w:ascii="Times New Roman" w:cs="Times New Roman" w:eastAsia="Times New Roman" w:hAnsi="Times New Roman"/>
          <w:sz w:val="18"/>
          <w:szCs w:val="18"/>
          <w:color w:val="auto"/>
        </w:rPr>
      </w:pPr>
    </w:p>
    <w:p>
      <w:pPr>
        <w:jc w:val="both"/>
        <w:ind w:left="1740" w:hanging="639"/>
        <w:spacing w:after="0" w:line="275" w:lineRule="auto"/>
        <w:tabs>
          <w:tab w:leader="none" w:pos="17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389" w:lineRule="exact"/>
        <w:rPr>
          <w:rFonts w:ascii="Times New Roman" w:cs="Times New Roman" w:eastAsia="Times New Roman" w:hAnsi="Times New Roman"/>
          <w:sz w:val="18"/>
          <w:szCs w:val="18"/>
          <w:color w:val="auto"/>
        </w:rPr>
      </w:pPr>
    </w:p>
    <w:p>
      <w:pPr>
        <w:ind w:left="1080" w:hanging="303"/>
        <w:spacing w:after="0" w:line="282" w:lineRule="auto"/>
        <w:tabs>
          <w:tab w:leader="none" w:pos="10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8" w:lineRule="exact"/>
        <w:rPr>
          <w:sz w:val="20"/>
          <w:szCs w:val="20"/>
          <w:color w:val="auto"/>
        </w:rPr>
      </w:pPr>
    </w:p>
    <w:p>
      <w:pPr>
        <w:ind w:left="760" w:hanging="310"/>
        <w:spacing w:after="0" w:line="28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i w:val="1"/>
          <w:iCs w:val="1"/>
          <w:color w:val="auto"/>
        </w:rPr>
        <w:t>Control framework:</w:t>
      </w:r>
      <w:r>
        <w:rPr>
          <w:rFonts w:ascii="Times New Roman" w:cs="Times New Roman" w:eastAsia="Times New Roman" w:hAnsi="Times New Roman"/>
          <w:sz w:val="18"/>
          <w:szCs w:val="18"/>
          <w:color w:val="auto"/>
        </w:rPr>
        <w:t xml:space="preserve"> The control framework the issuer’s other certifying officer(s) and I used to design the issuer’s ICFR is the Internal Control – Integrated Framework (2013) issued by the Committee of Sponsoring Organizations of the Treadway Commission (COSO).</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i w:val="1"/>
          <w:iCs w:val="1"/>
          <w:color w:val="auto"/>
        </w:rPr>
        <w:t>ICFR - material weakness relating to design:</w:t>
      </w:r>
      <w:r>
        <w:rPr>
          <w:rFonts w:ascii="Times New Roman" w:cs="Times New Roman" w:eastAsia="Times New Roman" w:hAnsi="Times New Roman"/>
          <w:sz w:val="18"/>
          <w:szCs w:val="18"/>
          <w:color w:val="auto"/>
        </w:rPr>
        <w:t xml:space="preserve"> N/A</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i w:val="1"/>
          <w:iCs w:val="1"/>
          <w:color w:val="auto"/>
        </w:rPr>
        <w:t>Limitation on scope of design:</w:t>
      </w:r>
      <w:r>
        <w:rPr>
          <w:rFonts w:ascii="Times New Roman" w:cs="Times New Roman" w:eastAsia="Times New Roman" w:hAnsi="Times New Roman"/>
          <w:sz w:val="18"/>
          <w:szCs w:val="18"/>
          <w:color w:val="auto"/>
        </w:rPr>
        <w:t xml:space="preserve"> N/A</w:t>
      </w:r>
    </w:p>
    <w:p>
      <w:pPr>
        <w:spacing w:after="0" w:line="225" w:lineRule="exact"/>
        <w:rPr>
          <w:sz w:val="20"/>
          <w:szCs w:val="20"/>
          <w:color w:val="auto"/>
        </w:rPr>
      </w:pPr>
    </w:p>
    <w:p>
      <w:pPr>
        <w:jc w:val="both"/>
        <w:ind w:left="760" w:hanging="307"/>
        <w:spacing w:after="0" w:line="268"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Reporting changes in ICFR: </w:t>
      </w:r>
      <w:r>
        <w:rPr>
          <w:rFonts w:ascii="Times New Roman" w:cs="Times New Roman" w:eastAsia="Times New Roman" w:hAnsi="Times New Roman"/>
          <w:sz w:val="18"/>
          <w:szCs w:val="18"/>
          <w:color w:val="auto"/>
        </w:rPr>
        <w:t>The issuer has disclosed in its interim MD&amp;A any change in the issuer’s ICFR that occurred during the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beginning on July 1, 2022 and ended on September 30, 2022 that has materially affected, or is reasonably likely to materially affect, the issuer’s ICFR.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(signed) “Jeffrey Lucas”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Lucas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2"/>
          <w:szCs w:val="22"/>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168275</wp:posOffset>
            </wp:positionV>
            <wp:extent cx="2031365" cy="531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32"/>
          <w:szCs w:val="32"/>
          <w:b w:val="1"/>
          <w:bCs w:val="1"/>
          <w:color w:val="auto"/>
        </w:rPr>
        <w:t>Bitfarms Reports Third Quarter 2022 Results with</w:t>
      </w:r>
    </w:p>
    <w:p>
      <w:pPr>
        <w:spacing w:after="0" w:line="39"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32"/>
          <w:szCs w:val="32"/>
          <w:b w:val="1"/>
          <w:bCs w:val="1"/>
          <w:color w:val="auto"/>
        </w:rPr>
        <w:t>Positive Adjusted EBITDA of $10 million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Direct cost of production $500 lower at $9,400 per BTC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- 1,515 BTC mined in Q3 2022 and 486 BTC in October 2022 -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Quarter ended with 4.2 EH/s, Up 17% from June 30, 2022 -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Final stages of Canadian expansion projects on track for completion by year end -</w:t>
      </w:r>
    </w:p>
    <w:p>
      <w:pPr>
        <w:spacing w:after="0" w:line="205" w:lineRule="exact"/>
        <w:rPr>
          <w:sz w:val="20"/>
          <w:szCs w:val="20"/>
          <w:color w:val="auto"/>
        </w:rPr>
      </w:pPr>
    </w:p>
    <w:p>
      <w:pPr>
        <w:ind w:left="660" w:right="760"/>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(November 14, 2022) </w:t>
      </w:r>
      <w:r>
        <w:rPr>
          <w:rFonts w:ascii="Times New Roman" w:cs="Times New Roman" w:eastAsia="Times New Roman" w:hAnsi="Times New Roman"/>
          <w:sz w:val="18"/>
          <w:szCs w:val="18"/>
          <w:color w:val="auto"/>
        </w:rPr>
        <w:t>- Bitfarms Ltd. (</w:t>
      </w:r>
      <w:r>
        <w:rPr>
          <w:rFonts w:ascii="Times New Roman" w:cs="Times New Roman" w:eastAsia="Times New Roman" w:hAnsi="Times New Roman"/>
          <w:sz w:val="18"/>
          <w:szCs w:val="18"/>
          <w:u w:val="single" w:color="auto"/>
          <w:color w:val="auto"/>
        </w:rPr>
        <w:t>NASDAQ: BITF // TSX: BITF</w:t>
      </w:r>
      <w:r>
        <w:rPr>
          <w:rFonts w:ascii="Times New Roman" w:cs="Times New Roman" w:eastAsia="Times New Roman" w:hAnsi="Times New Roman"/>
          <w:sz w:val="18"/>
          <w:szCs w:val="18"/>
          <w:color w:val="auto"/>
        </w:rPr>
        <w:t>), a global Bitcoin self-mining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its financial results for the third quarter ended September 30, 2022. All financial references are in U.S. dollars. During third quarter 2022, Bitfarms mined 1,515 bitcoin (BTC).</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Q3 2022, we continued to execute our growth plan and deliver industry leading production metrics, which make us confident we will manage current challenges and thrive,” said Geoff Morphy, Bitfarms’ President and COO. “We averaged 16.5 BTC per day in Q3 2022. As a result, we mined 3,733 BTC in the first nine months of 2022, surpassing the 3,453 BTC mined in all of 2021. For the second year in a row, Bitfarms is on pace to be one of the largest known producers of Bitcoin. Consistently one of the reported lowest cost producers, during Q3 2022, we reduced our direct cost of production by 5% to $9,400 per BTC compared to Q2 2022. In addition, we drove greater efficiencies and discretionary reductions in cash G&amp;A that contributed to further savings, and our total cash costs of production declined 16% to $14,300 per BTC from Q2 2022. As such, even with recent BTC pricing, we continue to generate positive cash flow from operations and posted $10 million in Adjusted EBITDA.</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corporate hashrate increased by 17% from the beginning of the quarter and by 180% from a year ago to 4.2 exahash per second (EH/s) at September 30, 2022. However, as we enter Q4 2022, we modified our corporate hashrate guidance from 6.0 EH/s to 5.0 EH/s to reflect the impact of the Argentinian macroeconomic environment on the timing of importing miners.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quarter, we strengthened our balance sheet to be better positioned to take advantage of complementary opportunities,” concluded Morphy.</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Financial Highlights for the Quarter ended September 30, 2022</w:t>
      </w:r>
    </w:p>
    <w:p>
      <w:pPr>
        <w:spacing w:after="0" w:line="229" w:lineRule="exact"/>
        <w:rPr>
          <w:sz w:val="20"/>
          <w:szCs w:val="20"/>
          <w:color w:val="auto"/>
        </w:rPr>
      </w:pPr>
    </w:p>
    <w:p>
      <w:pPr>
        <w:ind w:left="660" w:hanging="328"/>
        <w:spacing w:after="0" w:line="261"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$33 million, compared to $42 million in Q2 2022, reflecting lower average BTC prices, partially offset by increases in Bitfarms’ hashrate.</w:t>
      </w: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and gross mining margin* were $17 million and 52%, respectively, compared to $27 million and 66% in Q2 2022, respectively.</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excluding non-cash share-based compensation, were $6 million, down 15% from Q2 2022.</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was $98 million, including an $84 million non-cash impairment charge, a $44 million realized loss on disposition of digital assets, and a $46 million change in unrealized gain on revaluation of digital assets, compared to an operating loss of $173 million, which including a $78 million realized loss on disposition of digital assets, a $70 million change in unrealized loss on revaluation of digital assets, and an $18 million impairment on goodwill in Q2 2022.</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$85 million, or ($0.40) per basic and diluted share, compared to a net loss of $142 million, or ($0.70) per basic and diluted share, in Q2 2022.</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$10 million, or 31% of revenue, compared to $19 million, or 45% of revenue, in Q2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mined 1,515 BTC at an average direct cost of production per BTC** of $9,400, compared to $9,900 in Q2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costs of production per BTC were $14,300 in Q3 2022, down from $17,000 in Q2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at September 30, 2022</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2022, the Company held $36 million in cash and 2,064 BTC valued at approximately $40 million based upon a BTC price of approximately $19,400.</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remain steadfast in our resolve to maintain financial strength and flexibility,” said Jeff Lucas, CFO of Bitfarms. “When the BTC price started to trend lower, we began deleveraging the balance sheet. Since June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we have paid down $94 million in debt, including fully retiring our highest interest rate facilities. As such, we expect to reduce annualized interest by $9 million.”</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Q3 2022 Financing Activities</w:t>
      </w:r>
    </w:p>
    <w:p>
      <w:pPr>
        <w:spacing w:after="0" w:line="229"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2,595 BTC for aggregate proceeds of $56 million.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$15 million of the BTC-backed loan facility reducing it to $23 million, lowering interest expense by $2 million on an annualized basis and freeing up approximately $5 million of required BTC collateral in excess of the loan principal outstanding.</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down equipment-backed term debt by $12 million, reducing interest expense in future periods.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the BTC-backed loan, extending the maturity to December 29, 2022 and reducing the collateral requirement from 143% to 135% with the interest rate remaining unchanged at 11.25%.</w:t>
      </w: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$13 million of net proceeds through the at-the-market equity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 Subsequent to September 30, 2022</w:t>
      </w:r>
    </w:p>
    <w:p>
      <w:pPr>
        <w:spacing w:after="0" w:line="22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daily production, totaling 486 BTC, during October 2022, generating proceeds of $10 million.</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deleverage the Company’s balance sheet and reduce interest expense by making principal paydowns in October totaling $3 million and paying off its equipment term loan with the highest interest rate.</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2,064 BTC in custody on October 31, 2022, representing a total value of approximately $42 million based on a BTC price of $20,500.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Raised $2 million of net proceeds through the at-the-market equity program.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Finalized terms on sale of the de la Pointe facility with net proceeds of $3.5 million expected to received by year end.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Operating Highlights</w:t>
      </w:r>
    </w:p>
    <w:p>
      <w:pPr>
        <w:spacing w:after="0" w:line="229"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Surpassed 4.4 EH/s corporate hashrate in November with new production coming online in Quebec and Washington.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Averaged 16.5 BTC per day in daily production for Q3 2022, frequently exceeding 17 BTC per day in daily production.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Mined 486 BTC in October.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and installed approximately 7,000 miners in Q3 2022, adding more than 600 PH/s to Bitfarms’ online hashrate.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infrastructure for the remaining four 10 MW modules in warehouse 1 in Rio Cuarto.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Sherbrooke, Québec:</w:t>
      </w:r>
    </w:p>
    <w:p>
      <w:pPr>
        <w:spacing w:after="0" w:line="9" w:lineRule="exact"/>
        <w:rPr>
          <w:sz w:val="20"/>
          <w:szCs w:val="20"/>
          <w:color w:val="auto"/>
        </w:rPr>
      </w:pPr>
    </w:p>
    <w:p>
      <w:pPr>
        <w:ind w:left="1300" w:hanging="320"/>
        <w:spacing w:after="0" w:line="250"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Garlock, energized the first 6 MW of the 18,000 square foot expansion in early November with the full 18 MW expected by early December.</w:t>
      </w:r>
    </w:p>
    <w:p>
      <w:pPr>
        <w:ind w:left="1300" w:hanging="320"/>
        <w:spacing w:after="0"/>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Phase 3 of The Bunker, energized 6 MW in late October with the remaining 6 MW expected to be online by early December.</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retirement of de la Pointe, Sherbrooke will consist of three farms in close proximity that are scheduled to have 96 MW operational by year end.</w:t>
      </w:r>
    </w:p>
    <w:p>
      <w:pPr>
        <w:ind w:left="660" w:hanging="328"/>
        <w:spacing w:after="0" w:line="260"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electrical capacity by 39 MW to 176 MW at September 30, 2022, up 28% from June 30, 2022. And, with the October energization of 6 MW at the Phase 3 of the Bunker, total capacity now stands at 182 MW.</w:t>
      </w:r>
    </w:p>
    <w:p>
      <w:pPr>
        <w:spacing w:after="0" w:line="38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Expansion Update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infrastructure construction contracts are projected to bring total capacity to 5.0 EH/s as of December 31,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Operating Performance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4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Q3 2022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Q2 2022</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Q3 2021</w:t>
            </w:r>
          </w:p>
        </w:tc>
      </w:tr>
      <w:tr>
        <w:trPr>
          <w:trHeight w:val="22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BTC Mined</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1,515</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r>
      <w:tr>
        <w:trPr>
          <w:trHeight w:val="223"/>
        </w:trPr>
        <w:tc>
          <w:tcPr>
            <w:tcW w:w="2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Quarter End Operating Hashrate</w:t>
            </w: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4.2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BTC/ Avg EH</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400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r>
      <w:tr>
        <w:trPr>
          <w:trHeight w:val="223"/>
        </w:trPr>
        <w:tc>
          <w:tcPr>
            <w:tcW w:w="2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176</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166</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Watts/TH Efficiency</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40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BTC Sold</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2,595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w:t>
            </w:r>
          </w:p>
        </w:tc>
      </w:tr>
      <w:tr>
        <w:trPr>
          <w:trHeight w:val="414"/>
        </w:trPr>
        <w:tc>
          <w:tcPr>
            <w:tcW w:w="2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Quarterly Operating Production</w:t>
            </w: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9"/>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BTC Mined 2022</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BTC Mined 2021</w:t>
            </w:r>
          </w:p>
        </w:tc>
      </w:tr>
      <w:tr>
        <w:trPr>
          <w:trHeight w:val="22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Q1</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961</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598</w:t>
            </w:r>
          </w:p>
        </w:tc>
      </w:tr>
      <w:tr>
        <w:trPr>
          <w:trHeight w:val="22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Q2</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1,257</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r>
      <w:tr>
        <w:trPr>
          <w:trHeight w:val="223"/>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Q3</w:t>
            </w: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1,515</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r>
      <w:tr>
        <w:trPr>
          <w:trHeight w:val="238"/>
        </w:trPr>
        <w:tc>
          <w:tcPr>
            <w:tcW w:w="1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YTD Sep. 30</w:t>
            </w: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3,733</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2,407</w:t>
            </w:r>
          </w:p>
        </w:tc>
      </w:tr>
      <w:tr>
        <w:trPr>
          <w:trHeight w:val="410"/>
        </w:trPr>
        <w:tc>
          <w:tcPr>
            <w:tcW w:w="67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Average Direct Cost of Production per BTC** </w:t>
            </w:r>
            <w:r>
              <w:rPr>
                <w:rFonts w:ascii="Times New Roman" w:cs="Times New Roman" w:eastAsia="Times New Roman" w:hAnsi="Times New Roman"/>
                <w:sz w:val="18"/>
                <w:szCs w:val="18"/>
                <w:i w:val="1"/>
                <w:iCs w:val="1"/>
                <w:color w:val="auto"/>
              </w:rPr>
              <w:t>(rounded to nearest $100)</w:t>
            </w:r>
          </w:p>
        </w:tc>
        <w:tc>
          <w:tcPr>
            <w:tcW w:w="5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39"/>
        </w:trPr>
        <w:tc>
          <w:tcPr>
            <w:tcW w:w="16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Q3 2022</w:t>
            </w:r>
          </w:p>
        </w:tc>
        <w:tc>
          <w:tcPr>
            <w:tcW w:w="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Q2 2022</w:t>
            </w:r>
          </w:p>
        </w:tc>
        <w:tc>
          <w:tcPr>
            <w:tcW w:w="5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Q1 2022</w:t>
            </w:r>
          </w:p>
        </w:tc>
        <w:tc>
          <w:tcPr>
            <w:tcW w:w="5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Q4 2021</w:t>
            </w:r>
          </w:p>
        </w:tc>
        <w:tc>
          <w:tcPr>
            <w:tcW w:w="7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7"/>
              </w:rPr>
              <w:t>Q3 2021</w:t>
            </w:r>
          </w:p>
        </w:tc>
      </w:tr>
      <w:tr>
        <w:trPr>
          <w:trHeight w:val="234"/>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9,400</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9,900</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8,700</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8,000</w:t>
            </w:r>
          </w:p>
        </w:tc>
        <w:tc>
          <w:tcPr>
            <w:tcW w:w="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6,900</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Bitfarms' average direct cost of production** in Q3 2022 was $9,400, among the lowest reported in the industry, reflecting a decrease in BTC network difficulty of about 1% and by improvements in operating efficiency during the quarter.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ind w:left="20" w:hanging="11"/>
        <w:spacing w:after="0" w:line="266" w:lineRule="auto"/>
        <w:rPr>
          <w:sz w:val="20"/>
          <w:szCs w:val="20"/>
          <w:color w:val="auto"/>
        </w:rPr>
      </w:pPr>
      <w:r>
        <w:rPr>
          <w:rFonts w:ascii="Times New Roman" w:cs="Times New Roman" w:eastAsia="Times New Roman" w:hAnsi="Times New Roman"/>
          <w:sz w:val="18"/>
          <w:szCs w:val="18"/>
          <w:color w:val="auto"/>
        </w:rPr>
        <w:t>Management will host a conference call and live webcast with an accompanying presentation today, Monday, November 14, at 11 a.m. ET to review the financial results and quarterly activity. Following management’s formal remarks there will be a live question-and-answer session, which may include pre-submitted questions Participants are asked to pre-register for the call through the following link: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Q3 2022 Conference Call</w:t>
      </w:r>
    </w:p>
    <w:p>
      <w:pPr>
        <w:spacing w:after="0" w:line="225" w:lineRule="exact"/>
        <w:rPr>
          <w:sz w:val="20"/>
          <w:szCs w:val="20"/>
          <w:color w:val="auto"/>
        </w:rPr>
      </w:pPr>
    </w:p>
    <w:p>
      <w:pPr>
        <w:jc w:val="both"/>
        <w:ind w:left="20" w:hanging="11"/>
        <w:spacing w:after="0" w:line="266" w:lineRule="auto"/>
        <w:rPr>
          <w:sz w:val="20"/>
          <w:szCs w:val="20"/>
          <w:color w:val="auto"/>
        </w:rPr>
      </w:pPr>
      <w:r>
        <w:rPr>
          <w:rFonts w:ascii="Times New Roman" w:cs="Times New Roman" w:eastAsia="Times New Roman" w:hAnsi="Times New Roman"/>
          <w:sz w:val="18"/>
          <w:szCs w:val="18"/>
          <w:color w:val="auto"/>
        </w:rPr>
        <w:t>Please note that registered participants will receive their dial in number upon registration and will dial directly into the call without delay. Those without internet access or unable to pre-register may dial in by calling: 1-866-777-2509 (domestic), 1-412-317-5413 (international). All callers should dial in approximately 10 minutes prior to the scheduled start time and ask to be joined into the Bitfarms call.</w:t>
      </w:r>
    </w:p>
    <w:p>
      <w:pPr>
        <w:spacing w:after="0" w:line="383"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The conference call will also be available through a live webcast found 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Live Webcast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webcast replay of the call will be available approximately one hour after the end of the call and will be available for one year, at the above webcast link. A telephonic replay of the call will be available through November 21, 2022 and may be accessed by calling 1-877-344-7529 (domestic) or 1-412-317-0088 (international) or Canada (toll free) 855-669-9658 and using access code 1280031. A presentation of the Q3 2022 results will be accessible on Monday, November 21, 2022, under the “Investors” section of Bitfarms’ website.</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*Gross mining profit, Gross mining margin, EBITDA, EBITDA margin, Adjusted EBITDA and Adjusted EBITDA margin are non-IFRS financial measures and should be read in conjunction with, and should not be viewed as alternatives to or replacements of, measures of operating results and liquidity presented in accordance with IFRS and refer readers to reconciliations of Non-IFRS measures included in the Company’s MD&amp;A and at the end of this press release.</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**Represents the direct cost of Bitcoin based on the total electricity costs, net of the gain on disposition of marketable securities used to pay Argentina energy costs in Argentine Pesos, and, where applicable, hosting costs related to the mining of Bitcoin, excluding electricity consumed by hosting clients, divided by the total number of Bitcoin mined.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highlight w:val="white"/>
        </w:rPr>
        <w:t>About Bitfarms Ltd.</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highlight w:val="white"/>
        </w:rPr>
        <w:t>Founded in 2017, Bitfarms is a global, publicly traded (NASDAQ/TSX: BITF) Bitcoin self-mining company. Bitfarms runs vertically integrated mining operations with in-house management and company-owned electrical engineering, installation service, and onsite technical repair. The Company’s proprietary data analytics system delivers best-in-class operational performance and accelerated uptime.</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highlight w:val="white"/>
        </w:rPr>
        <w:t>Bitfarms has 10 mining facilities in production around the world, which are housed in four countries: Canada, the United States, Paraguay, and Argentina. Powered by predominantly environmentally friendly hydro-electric and long-term power contracts, Bitfarms is committed to using renewable, locally based, and often underutilized energy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Website: www.bitfarms.com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https://www.facebook.com/bitfarms/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https://twitter.com/Bitfarms_io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https://www.instagram.com/bitfarms/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highlight w:val="white"/>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Cautionary Statement</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highlight w:val="white"/>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3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highlight w:val="white"/>
        </w:rPr>
        <w:t>Forward-Looking Statements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highlight w:val="white"/>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expansion plans, including construction in Argentina and Québec, and potential strategic opportunities, expectations for monthly growth, targets, and goals for productive capacity and hashrates, debt reduction and liquidity including the ability to lower interest payments and manage bitcoin holding, and other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highlight w:val="white"/>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highlight w:val="white"/>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the ability to maintain reliable and economical sources of power to run its cryptocurrency mining assets; the impact of energy curtailment or regulatory changes in the energy regimes in the jurisdictions in which the Company operates;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facilities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white"/>
        </w:rPr>
        <w:t xml:space="preserve"> the inability to maintain reliable and economical sources of power for the Company to operate cryptocurrency mining assets; the risks of an increase in the Company’s electricity costs, cost of natural gas, changes in currency exchange rates, energy curtailment or regulatory changes in the energy regimes in the jurisdictions in which the Company operates and the adverse impact on the Company’s profitability;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t>
      </w:r>
      <w:r>
        <w:rPr>
          <w:rFonts w:ascii="Times New Roman" w:cs="Times New Roman" w:eastAsia="Times New Roman" w:hAnsi="Times New Roman"/>
          <w:sz w:val="18"/>
          <w:szCs w:val="18"/>
          <w:u w:val="single" w:color="auto"/>
          <w:color w:val="auto"/>
          <w:highlight w:val="white"/>
        </w:rPr>
        <w:t>www.SEDAR.com</w:t>
      </w:r>
      <w:r>
        <w:rPr>
          <w:rFonts w:ascii="Times New Roman" w:cs="Times New Roman" w:eastAsia="Times New Roman" w:hAnsi="Times New Roman"/>
          <w:sz w:val="18"/>
          <w:szCs w:val="18"/>
          <w:color w:val="auto"/>
          <w:highlight w:val="white"/>
        </w:rPr>
        <w:t xml:space="preserve"> (which are also available on the website of the U.S. Securities and Exchange Commission at </w:t>
      </w:r>
      <w:r>
        <w:rPr>
          <w:rFonts w:ascii="Times New Roman" w:cs="Times New Roman" w:eastAsia="Times New Roman" w:hAnsi="Times New Roman"/>
          <w:sz w:val="18"/>
          <w:szCs w:val="18"/>
          <w:u w:val="single" w:color="auto"/>
          <w:color w:val="auto"/>
          <w:highlight w:val="white"/>
        </w:rPr>
        <w:t>www.sec.gov</w:t>
      </w:r>
      <w:r>
        <w:rPr>
          <w:rFonts w:ascii="Times New Roman" w:cs="Times New Roman" w:eastAsia="Times New Roman" w:hAnsi="Times New Roman"/>
          <w:sz w:val="18"/>
          <w:szCs w:val="18"/>
          <w:color w:val="auto"/>
          <w:highlight w:val="white"/>
        </w:rPr>
        <w:t>), including the annual information form for the year-ended December 31, 2021, filed on March 28, 2022.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LHA 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Barnard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+1 415-433-3777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Actual Agency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Weaver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+1 339-234-3332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mediarelations@bitfarms.com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Québec Media: 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lmleclerc@tactconseil.ca</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Bitfarms Ltd. Consolidated Results of Operations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80" w:type="dxa"/>
            <w:vAlign w:val="bottom"/>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in thousands except where indicated)</w:t>
            </w:r>
          </w:p>
        </w:tc>
        <w:tc>
          <w:tcPr>
            <w:tcW w:w="5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right w:val="single" w:sz="8" w:color="ECECEC"/>
            </w:tcBorders>
          </w:tcPr>
          <w:p>
            <w:pPr>
              <w:spacing w:after="0"/>
              <w:rPr>
                <w:sz w:val="18"/>
                <w:szCs w:val="18"/>
                <w:color w:val="auto"/>
              </w:rPr>
            </w:pPr>
          </w:p>
        </w:tc>
        <w:tc>
          <w:tcPr>
            <w:tcW w:w="5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shd w:val="clear" w:color="auto" w:fill="ECECEC"/>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2021</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 Change</w:t>
            </w:r>
          </w:p>
        </w:tc>
        <w:tc>
          <w:tcPr>
            <w:tcW w:w="820" w:type="dxa"/>
            <w:vAlign w:val="bottom"/>
            <w:tcBorders>
              <w:bottom w:val="single" w:sz="8" w:color="auto"/>
              <w:right w:val="single" w:sz="8" w:color="ECECEC"/>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5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shd w:val="clear" w:color="auto" w:fill="ECECEC"/>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2021</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 Change</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 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4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33,247</w:t>
            </w:r>
          </w:p>
        </w:tc>
        <w:tc>
          <w:tcPr>
            <w:tcW w:w="220" w:type="dxa"/>
            <w:vAlign w:val="bottom"/>
            <w:shd w:val="clear" w:color="auto" w:fill="ECECEC"/>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44,774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(11,527)</w:t>
            </w:r>
          </w:p>
        </w:tc>
        <w:tc>
          <w:tcPr>
            <w:tcW w:w="820" w:type="dxa"/>
            <w:vAlign w:val="bottom"/>
            <w:tcBorders>
              <w:right w:val="single" w:sz="8" w:color="ECECEC"/>
            </w:tcBorders>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800" w:type="dxa"/>
            <w:vAlign w:val="bottom"/>
            <w:gridSpan w:val="2"/>
            <w:shd w:val="clear" w:color="auto" w:fill="ECECEC"/>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115,391</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109,893</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5,498</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5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37,186</w:t>
            </w:r>
          </w:p>
        </w:tc>
        <w:tc>
          <w:tcPr>
            <w:tcW w:w="220" w:type="dxa"/>
            <w:vAlign w:val="bottom"/>
            <w:tcBorders>
              <w:bottom w:val="single" w:sz="8" w:color="auto"/>
            </w:tcBorders>
            <w:shd w:val="clear" w:color="auto" w:fill="ECECEC"/>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15,306</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21,880</w:t>
            </w:r>
          </w:p>
        </w:tc>
        <w:tc>
          <w:tcPr>
            <w:tcW w:w="820" w:type="dxa"/>
            <w:vAlign w:val="bottom"/>
            <w:tcBorders>
              <w:bottom w:val="single" w:sz="8" w:color="auto"/>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143%</w:t>
            </w:r>
          </w:p>
        </w:tc>
        <w:tc>
          <w:tcPr>
            <w:tcW w:w="5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92,789</w:t>
            </w:r>
          </w:p>
        </w:tc>
        <w:tc>
          <w:tcPr>
            <w:tcW w:w="220" w:type="dxa"/>
            <w:vAlign w:val="bottom"/>
            <w:tcBorders>
              <w:bottom w:val="single" w:sz="8" w:color="auto"/>
            </w:tcBorders>
            <w:shd w:val="clear" w:color="auto" w:fill="ECECEC"/>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37,758</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55,031</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0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Gross (loss) profit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(3,939)</w:t>
            </w:r>
          </w:p>
        </w:tc>
        <w:tc>
          <w:tcPr>
            <w:tcW w:w="22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29,468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(33,407)</w:t>
            </w:r>
          </w:p>
        </w:tc>
        <w:tc>
          <w:tcPr>
            <w:tcW w:w="820" w:type="dxa"/>
            <w:vAlign w:val="bottom"/>
            <w:tcBorders>
              <w:right w:val="single" w:sz="8" w:color="ECECEC"/>
            </w:tcBorders>
          </w:tcPr>
          <w:p>
            <w:pPr>
              <w:jc w:val="right"/>
              <w:ind w:right="79"/>
              <w:spacing w:after="0"/>
              <w:rPr>
                <w:sz w:val="20"/>
                <w:szCs w:val="20"/>
                <w:color w:val="auto"/>
              </w:rPr>
            </w:pPr>
            <w:r>
              <w:rPr>
                <w:rFonts w:ascii="Times New Roman" w:cs="Times New Roman" w:eastAsia="Times New Roman" w:hAnsi="Times New Roman"/>
                <w:sz w:val="16"/>
                <w:szCs w:val="16"/>
                <w:color w:val="auto"/>
              </w:rPr>
              <w:t>(113)%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22,602</w:t>
            </w:r>
          </w:p>
        </w:tc>
        <w:tc>
          <w:tcPr>
            <w:tcW w:w="22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72,135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(49,533)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Gross margin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ECECEC"/>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5020" w:type="dxa"/>
            <w:vAlign w:val="bottom"/>
            <w:tcBorders>
              <w:top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10,299</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20" w:type="dxa"/>
            <w:vAlign w:val="bottom"/>
            <w:tcBorders>
              <w:top w:val="single" w:sz="8" w:color="auto"/>
              <w:right w:val="single" w:sz="8" w:color="ECECEC"/>
            </w:tcBorders>
          </w:tcPr>
          <w:p>
            <w:pPr>
              <w:spacing w:after="0"/>
              <w:rPr>
                <w:sz w:val="16"/>
                <w:szCs w:val="16"/>
                <w:color w:val="auto"/>
              </w:rPr>
            </w:pP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39,534</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02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5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10,884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820" w:type="dxa"/>
            <w:vAlign w:val="bottom"/>
            <w:tcBorders>
              <w:right w:val="single" w:sz="8" w:color="ECECEC"/>
            </w:tcBorders>
          </w:tcPr>
          <w:p>
            <w:pPr>
              <w:jc w:val="right"/>
              <w:ind w:right="79"/>
              <w:spacing w:after="0"/>
              <w:rPr>
                <w:sz w:val="20"/>
                <w:szCs w:val="20"/>
                <w:color w:val="auto"/>
              </w:rPr>
            </w:pPr>
            <w:r>
              <w:rPr>
                <w:rFonts w:ascii="Times New Roman" w:cs="Times New Roman" w:eastAsia="Times New Roman" w:hAnsi="Times New Roman"/>
                <w:sz w:val="16"/>
                <w:szCs w:val="16"/>
                <w:color w:val="auto"/>
              </w:rPr>
              <w:t>(5)%</w:t>
            </w:r>
          </w:p>
        </w:tc>
        <w:tc>
          <w:tcPr>
            <w:tcW w:w="5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24,310</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15,224</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6"/>
                <w:szCs w:val="16"/>
                <w:color w:val="auto"/>
              </w:rPr>
              <w:t>Realized loss on disposition of digital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44,329</w:t>
            </w:r>
          </w:p>
        </w:tc>
        <w:tc>
          <w:tcPr>
            <w:tcW w:w="22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177</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44,152</w:t>
            </w:r>
          </w:p>
        </w:tc>
        <w:tc>
          <w:tcPr>
            <w:tcW w:w="820" w:type="dxa"/>
            <w:vAlign w:val="bottom"/>
            <w:tcBorders>
              <w:right w:val="single" w:sz="8" w:color="ECECEC"/>
            </w:tcBorders>
          </w:tcPr>
          <w:p>
            <w:pPr>
              <w:jc w:val="right"/>
              <w:ind w:right="259"/>
              <w:spacing w:after="0"/>
              <w:rPr>
                <w:sz w:val="20"/>
                <w:szCs w:val="20"/>
                <w:color w:val="auto"/>
              </w:rPr>
            </w:pPr>
            <w:r>
              <w:rPr>
                <w:rFonts w:ascii="Times New Roman" w:cs="Times New Roman" w:eastAsia="Times New Roman" w:hAnsi="Times New Roman"/>
                <w:sz w:val="16"/>
                <w:szCs w:val="16"/>
                <w:i w:val="1"/>
                <w:iCs w:val="1"/>
                <w:color w:val="auto"/>
              </w:rPr>
              <w:t>nm</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122,243</w:t>
            </w:r>
          </w:p>
        </w:tc>
        <w:tc>
          <w:tcPr>
            <w:tcW w:w="22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152</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122,091</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03"/>
        </w:trPr>
        <w:tc>
          <w:tcPr>
            <w:tcW w:w="502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6"/>
                <w:szCs w:val="16"/>
                <w:color w:val="auto"/>
              </w:rPr>
              <w:t>Change in unrealized (gain) loss on revaluation of digital assets</w:t>
            </w:r>
          </w:p>
        </w:tc>
        <w:tc>
          <w:tcPr>
            <w:tcW w:w="7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(45,655)</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(13,893)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(31,762)</w:t>
            </w:r>
          </w:p>
        </w:tc>
        <w:tc>
          <w:tcPr>
            <w:tcW w:w="820" w:type="dxa"/>
            <w:vAlign w:val="bottom"/>
            <w:tcBorders>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229%</w:t>
            </w:r>
          </w:p>
        </w:tc>
        <w:tc>
          <w:tcPr>
            <w:tcW w:w="8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21,118</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992</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20,126</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04"/>
        </w:trPr>
        <w:tc>
          <w:tcPr>
            <w:tcW w:w="502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6"/>
                <w:szCs w:val="16"/>
                <w:color w:val="auto"/>
              </w:rPr>
              <w:t>Loss (gain) on disposition of property, plant and equipment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756</w:t>
            </w:r>
          </w:p>
        </w:tc>
        <w:tc>
          <w:tcPr>
            <w:tcW w:w="22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70</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686</w:t>
            </w:r>
          </w:p>
        </w:tc>
        <w:tc>
          <w:tcPr>
            <w:tcW w:w="820" w:type="dxa"/>
            <w:vAlign w:val="bottom"/>
            <w:tcBorders>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980%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1,692</w:t>
            </w: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1,787</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03"/>
        </w:trPr>
        <w:tc>
          <w:tcPr>
            <w:tcW w:w="502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6"/>
                <w:szCs w:val="16"/>
                <w:color w:val="auto"/>
              </w:rPr>
              <w:t>Impairment on equipment and construction prepayments, property, plant</w:t>
            </w:r>
          </w:p>
        </w:tc>
        <w:tc>
          <w:tcPr>
            <w:tcW w:w="76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84,116</w:t>
            </w: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Borders>
              <w:right w:val="single" w:sz="8" w:color="ECECEC"/>
            </w:tcBorders>
          </w:tcPr>
          <w:p>
            <w:pPr>
              <w:spacing w:after="0"/>
              <w:rPr>
                <w:sz w:val="17"/>
                <w:szCs w:val="17"/>
                <w:color w:val="auto"/>
              </w:rPr>
            </w:pPr>
          </w:p>
        </w:tc>
        <w:tc>
          <w:tcPr>
            <w:tcW w:w="80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84,116</w:t>
            </w: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02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6"/>
                <w:szCs w:val="16"/>
                <w:color w:val="auto"/>
              </w:rPr>
              <w:t>and equipment and right-of-use assets</w:t>
            </w:r>
          </w:p>
        </w:tc>
        <w:tc>
          <w:tcPr>
            <w:tcW w:w="760" w:type="dxa"/>
            <w:vAlign w:val="bottom"/>
            <w:gridSpan w:val="2"/>
            <w:vMerge w:val="continue"/>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84,116</w:t>
            </w:r>
          </w:p>
        </w:tc>
        <w:tc>
          <w:tcPr>
            <w:tcW w:w="820" w:type="dxa"/>
            <w:vAlign w:val="bottom"/>
            <w:tcBorders>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gridSpan w:val="2"/>
            <w:vMerge w:val="continue"/>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84,116</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Borders>
              <w:right w:val="single" w:sz="8" w:color="ECECEC"/>
            </w:tcBorders>
          </w:tcPr>
          <w:p>
            <w:pPr>
              <w:ind w:left="180"/>
              <w:spacing w:after="0"/>
              <w:rPr>
                <w:sz w:val="20"/>
                <w:szCs w:val="20"/>
                <w:color w:val="auto"/>
              </w:rPr>
            </w:pPr>
            <w:r>
              <w:rPr>
                <w:rFonts w:ascii="Times New Roman" w:cs="Times New Roman" w:eastAsia="Times New Roman" w:hAnsi="Times New Roman"/>
                <w:sz w:val="16"/>
                <w:szCs w:val="16"/>
                <w:color w:val="auto"/>
              </w:rPr>
              <w:t>Impairment on goodwill</w:t>
            </w:r>
          </w:p>
        </w:tc>
        <w:tc>
          <w:tcPr>
            <w:tcW w:w="7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ECECEC"/>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17,900</w:t>
            </w:r>
          </w:p>
        </w:tc>
        <w:tc>
          <w:tcPr>
            <w:tcW w:w="22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17,900</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020" w:type="dxa"/>
            <w:vAlign w:val="bottom"/>
            <w:tcBorders>
              <w:bottom w:val="single" w:sz="8" w:color="auto"/>
              <w:right w:val="single" w:sz="8" w:color="ECECEC"/>
            </w:tcBorders>
          </w:tcPr>
          <w:p>
            <w:pPr>
              <w:ind w:left="180"/>
              <w:spacing w:after="0"/>
              <w:rPr>
                <w:sz w:val="20"/>
                <w:szCs w:val="20"/>
                <w:color w:val="auto"/>
              </w:rPr>
            </w:pPr>
            <w:r>
              <w:rPr>
                <w:rFonts w:ascii="Times New Roman" w:cs="Times New Roman" w:eastAsia="Times New Roman" w:hAnsi="Times New Roman"/>
                <w:sz w:val="16"/>
                <w:szCs w:val="16"/>
                <w:color w:val="auto"/>
              </w:rPr>
              <w:t>Impairment reversal on property, plant and equipment</w:t>
            </w:r>
          </w:p>
        </w:tc>
        <w:tc>
          <w:tcPr>
            <w:tcW w:w="76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(1,860)</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1,860</w:t>
            </w:r>
          </w:p>
        </w:tc>
        <w:tc>
          <w:tcPr>
            <w:tcW w:w="820" w:type="dxa"/>
            <w:vAlign w:val="bottom"/>
            <w:tcBorders>
              <w:bottom w:val="single" w:sz="8" w:color="auto"/>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80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(1,860)</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1,860</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0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Operating (loss) income</w:t>
            </w:r>
          </w:p>
        </w:tc>
        <w:tc>
          <w:tcPr>
            <w:tcW w:w="7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(97,784)</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34,090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(131,874)</w:t>
            </w:r>
          </w:p>
        </w:tc>
        <w:tc>
          <w:tcPr>
            <w:tcW w:w="820" w:type="dxa"/>
            <w:vAlign w:val="bottom"/>
            <w:tcBorders>
              <w:right w:val="single" w:sz="8" w:color="ECECEC"/>
            </w:tcBorders>
          </w:tcPr>
          <w:p>
            <w:pPr>
              <w:jc w:val="right"/>
              <w:ind w:right="79"/>
              <w:spacing w:after="0"/>
              <w:rPr>
                <w:sz w:val="20"/>
                <w:szCs w:val="20"/>
                <w:color w:val="auto"/>
              </w:rPr>
            </w:pPr>
            <w:r>
              <w:rPr>
                <w:rFonts w:ascii="Times New Roman" w:cs="Times New Roman" w:eastAsia="Times New Roman" w:hAnsi="Times New Roman"/>
                <w:sz w:val="16"/>
                <w:szCs w:val="16"/>
                <w:color w:val="auto"/>
              </w:rPr>
              <w:t>(387)%</w:t>
            </w:r>
          </w:p>
        </w:tc>
        <w:tc>
          <w:tcPr>
            <w:tcW w:w="8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5"/>
              </w:rPr>
              <w:t>(264,001)</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48,636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(312,637)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0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(294)%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ECECEC"/>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5020" w:type="dxa"/>
            <w:vAlign w:val="bottom"/>
            <w:tcBorders>
              <w:top w:val="single" w:sz="8" w:color="auto"/>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Net financial (income) expenses</w:t>
            </w:r>
          </w:p>
        </w:tc>
        <w:tc>
          <w:tcPr>
            <w:tcW w:w="760" w:type="dxa"/>
            <w:vAlign w:val="bottom"/>
            <w:tcBorders>
              <w:top w:val="single" w:sz="8" w:color="auto"/>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(8,251)</w:t>
            </w:r>
          </w:p>
        </w:tc>
        <w:tc>
          <w:tcPr>
            <w:tcW w:w="7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(616)</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820" w:type="dxa"/>
            <w:vAlign w:val="bottom"/>
            <w:tcBorders>
              <w:top w:val="single" w:sz="8" w:color="auto"/>
              <w:bottom w:val="single" w:sz="8" w:color="auto"/>
              <w:right w:val="single" w:sz="8" w:color="ECECEC"/>
            </w:tcBorders>
          </w:tcPr>
          <w:p>
            <w:pPr>
              <w:jc w:val="right"/>
              <w:ind w:right="259"/>
              <w:spacing w:after="0"/>
              <w:rPr>
                <w:sz w:val="20"/>
                <w:szCs w:val="20"/>
                <w:color w:val="auto"/>
              </w:rPr>
            </w:pPr>
            <w:r>
              <w:rPr>
                <w:rFonts w:ascii="Times New Roman" w:cs="Times New Roman" w:eastAsia="Times New Roman" w:hAnsi="Times New Roman"/>
                <w:sz w:val="16"/>
                <w:szCs w:val="16"/>
                <w:i w:val="1"/>
                <w:iCs w:val="1"/>
                <w:color w:val="auto"/>
              </w:rPr>
              <w:t>nm</w:t>
            </w:r>
          </w:p>
        </w:tc>
        <w:tc>
          <w:tcPr>
            <w:tcW w:w="800" w:type="dxa"/>
            <w:vAlign w:val="bottom"/>
            <w:tcBorders>
              <w:top w:val="single" w:sz="8" w:color="auto"/>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(24,191)</w:t>
            </w:r>
          </w:p>
        </w:tc>
        <w:tc>
          <w:tcPr>
            <w:tcW w:w="7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23,936</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(48,127)</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Net (loss) income before income taxes</w:t>
            </w:r>
          </w:p>
        </w:tc>
        <w:tc>
          <w:tcPr>
            <w:tcW w:w="7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(89,533)</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34,706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(124,239)</w:t>
            </w:r>
          </w:p>
        </w:tc>
        <w:tc>
          <w:tcPr>
            <w:tcW w:w="820" w:type="dxa"/>
            <w:vAlign w:val="bottom"/>
            <w:tcBorders>
              <w:bottom w:val="single" w:sz="8" w:color="auto"/>
              <w:right w:val="single" w:sz="8" w:color="ECECEC"/>
            </w:tcBorders>
          </w:tcPr>
          <w:p>
            <w:pPr>
              <w:jc w:val="right"/>
              <w:ind w:right="79"/>
              <w:spacing w:after="0"/>
              <w:rPr>
                <w:sz w:val="20"/>
                <w:szCs w:val="20"/>
                <w:color w:val="auto"/>
              </w:rPr>
            </w:pPr>
            <w:r>
              <w:rPr>
                <w:rFonts w:ascii="Times New Roman" w:cs="Times New Roman" w:eastAsia="Times New Roman" w:hAnsi="Times New Roman"/>
                <w:sz w:val="16"/>
                <w:szCs w:val="16"/>
                <w:color w:val="auto"/>
              </w:rPr>
              <w:t>(358)%</w:t>
            </w:r>
          </w:p>
        </w:tc>
        <w:tc>
          <w:tcPr>
            <w:tcW w:w="8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5"/>
              </w:rPr>
              <w:t>(239,810)</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24,700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(264,510)</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Income tax (recovery) expense</w:t>
            </w:r>
          </w:p>
        </w:tc>
        <w:tc>
          <w:tcPr>
            <w:tcW w:w="7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(4,725)</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10,973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(15,698)</w:t>
            </w:r>
          </w:p>
        </w:tc>
        <w:tc>
          <w:tcPr>
            <w:tcW w:w="820" w:type="dxa"/>
            <w:vAlign w:val="bottom"/>
            <w:tcBorders>
              <w:bottom w:val="single" w:sz="8" w:color="auto"/>
              <w:right w:val="single" w:sz="8" w:color="ECECEC"/>
            </w:tcBorders>
          </w:tcPr>
          <w:p>
            <w:pPr>
              <w:jc w:val="right"/>
              <w:ind w:right="79"/>
              <w:spacing w:after="0"/>
              <w:rPr>
                <w:sz w:val="20"/>
                <w:szCs w:val="20"/>
                <w:color w:val="auto"/>
              </w:rPr>
            </w:pPr>
            <w:r>
              <w:rPr>
                <w:rFonts w:ascii="Times New Roman" w:cs="Times New Roman" w:eastAsia="Times New Roman" w:hAnsi="Times New Roman"/>
                <w:sz w:val="16"/>
                <w:szCs w:val="16"/>
                <w:color w:val="auto"/>
              </w:rPr>
              <w:t>(143)%</w:t>
            </w:r>
          </w:p>
        </w:tc>
        <w:tc>
          <w:tcPr>
            <w:tcW w:w="8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(17,603)</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12,247</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(29,850)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Net (loss) income and total comprehensive (loss) income</w:t>
            </w:r>
          </w:p>
        </w:tc>
        <w:tc>
          <w:tcPr>
            <w:tcW w:w="7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(84,808)</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23,733</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(108,541)</w:t>
            </w:r>
          </w:p>
        </w:tc>
        <w:tc>
          <w:tcPr>
            <w:tcW w:w="820" w:type="dxa"/>
            <w:vAlign w:val="bottom"/>
            <w:tcBorders>
              <w:bottom w:val="single" w:sz="8" w:color="auto"/>
              <w:right w:val="single" w:sz="8" w:color="ECECEC"/>
            </w:tcBorders>
          </w:tcPr>
          <w:p>
            <w:pPr>
              <w:jc w:val="right"/>
              <w:ind w:right="79"/>
              <w:spacing w:after="0"/>
              <w:rPr>
                <w:sz w:val="20"/>
                <w:szCs w:val="20"/>
                <w:color w:val="auto"/>
              </w:rPr>
            </w:pPr>
            <w:r>
              <w:rPr>
                <w:rFonts w:ascii="Times New Roman" w:cs="Times New Roman" w:eastAsia="Times New Roman" w:hAnsi="Times New Roman"/>
                <w:sz w:val="16"/>
                <w:szCs w:val="16"/>
                <w:color w:val="auto"/>
              </w:rPr>
              <w:t>(457)%</w:t>
            </w:r>
          </w:p>
        </w:tc>
        <w:tc>
          <w:tcPr>
            <w:tcW w:w="8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5"/>
              </w:rPr>
              <w:t>(222,207)</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12,453</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(234,660)</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Basic (loss) earnings per share (in U.S. dollars)</w:t>
            </w:r>
          </w:p>
        </w:tc>
        <w:tc>
          <w:tcPr>
            <w:tcW w:w="7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(0.40)</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0.14</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ECECEC"/>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(1.09)</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0.08</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Diluted (loss) earnings per share (in U.S. dollars)</w:t>
            </w:r>
          </w:p>
        </w:tc>
        <w:tc>
          <w:tcPr>
            <w:tcW w:w="760" w:type="dxa"/>
            <w:vAlign w:val="bottom"/>
            <w:tcBorders>
              <w:bottom w:val="single" w:sz="8" w:color="auto"/>
            </w:tcBorders>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(0.40)</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0.13</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ECECEC"/>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(1.09)</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0.08</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Borders>
              <w:right w:val="single" w:sz="8" w:color="ECECEC"/>
            </w:tcBorders>
          </w:tcPr>
          <w:p>
            <w:pPr>
              <w:spacing w:after="0" w:line="230" w:lineRule="exact"/>
              <w:rPr>
                <w:sz w:val="20"/>
                <w:szCs w:val="20"/>
                <w:color w:val="auto"/>
              </w:rPr>
            </w:pPr>
            <w:r>
              <w:rPr>
                <w:rFonts w:ascii="Times New Roman" w:cs="Times New Roman" w:eastAsia="Times New Roman" w:hAnsi="Times New Roman"/>
                <w:sz w:val="16"/>
                <w:szCs w:val="16"/>
                <w:color w:val="auto"/>
              </w:rPr>
              <w:t xml:space="preserve">Gross mining profit </w:t>
            </w:r>
            <w:r>
              <w:rPr>
                <w:rFonts w:ascii="Times New Roman" w:cs="Times New Roman" w:eastAsia="Times New Roman" w:hAnsi="Times New Roman"/>
                <w:sz w:val="26"/>
                <w:szCs w:val="26"/>
                <w:color w:val="auto"/>
                <w:vertAlign w:val="superscript"/>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16,789</w:t>
            </w:r>
          </w:p>
        </w:tc>
        <w:tc>
          <w:tcPr>
            <w:tcW w:w="22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35,448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(18,659)</w:t>
            </w:r>
          </w:p>
        </w:tc>
        <w:tc>
          <w:tcPr>
            <w:tcW w:w="820" w:type="dxa"/>
            <w:vAlign w:val="bottom"/>
            <w:tcBorders>
              <w:right w:val="single" w:sz="8" w:color="ECECEC"/>
            </w:tcBorders>
          </w:tcPr>
          <w:p>
            <w:pPr>
              <w:jc w:val="right"/>
              <w:ind w:right="79"/>
              <w:spacing w:after="0"/>
              <w:rPr>
                <w:sz w:val="20"/>
                <w:szCs w:val="20"/>
                <w:color w:val="auto"/>
              </w:rPr>
            </w:pPr>
            <w:r>
              <w:rPr>
                <w:rFonts w:ascii="Times New Roman" w:cs="Times New Roman" w:eastAsia="Times New Roman" w:hAnsi="Times New Roman"/>
                <w:sz w:val="16"/>
                <w:szCs w:val="16"/>
                <w:color w:val="auto"/>
              </w:rPr>
              <w:t>(53)%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74,089</w:t>
            </w:r>
          </w:p>
        </w:tc>
        <w:tc>
          <w:tcPr>
            <w:tcW w:w="220" w:type="dxa"/>
            <w:vAlign w:val="bottom"/>
          </w:tcPr>
          <w:p>
            <w:pPr>
              <w:spacing w:after="0"/>
              <w:rPr>
                <w:sz w:val="20"/>
                <w:szCs w:val="20"/>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85,782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20" w:type="dxa"/>
            <w:vAlign w:val="bottom"/>
            <w:tcBorders>
              <w:right w:val="single" w:sz="8" w:color="ECECEC"/>
            </w:tcBorders>
          </w:tcPr>
          <w:p>
            <w:pPr>
              <w:spacing w:after="0" w:line="243" w:lineRule="exact"/>
              <w:rPr>
                <w:sz w:val="20"/>
                <w:szCs w:val="20"/>
                <w:color w:val="auto"/>
              </w:rPr>
            </w:pPr>
            <w:r>
              <w:rPr>
                <w:rFonts w:ascii="Times New Roman" w:cs="Times New Roman" w:eastAsia="Times New Roman" w:hAnsi="Times New Roman"/>
                <w:sz w:val="16"/>
                <w:szCs w:val="16"/>
                <w:color w:val="auto"/>
              </w:rPr>
              <w:t xml:space="preserve">Gross mining margin </w:t>
            </w:r>
            <w:r>
              <w:rPr>
                <w:rFonts w:ascii="Times New Roman" w:cs="Times New Roman" w:eastAsia="Times New Roman" w:hAnsi="Times New Roman"/>
                <w:sz w:val="26"/>
                <w:szCs w:val="26"/>
                <w:color w:val="auto"/>
                <w:vertAlign w:val="superscript"/>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ECECEC"/>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020" w:type="dxa"/>
            <w:vAlign w:val="bottom"/>
            <w:tcBorders>
              <w:right w:val="single" w:sz="8" w:color="ECECEC"/>
            </w:tcBorders>
          </w:tcPr>
          <w:p>
            <w:pPr>
              <w:spacing w:after="0" w:line="243" w:lineRule="exact"/>
              <w:rPr>
                <w:sz w:val="20"/>
                <w:szCs w:val="20"/>
                <w:color w:val="auto"/>
              </w:rPr>
            </w:pPr>
            <w:r>
              <w:rPr>
                <w:rFonts w:ascii="Times New Roman" w:cs="Times New Roman" w:eastAsia="Times New Roman" w:hAnsi="Times New Roman"/>
                <w:sz w:val="16"/>
                <w:szCs w:val="16"/>
                <w:color w:val="auto"/>
              </w:rPr>
              <w:t xml:space="preserve">EBITDA </w:t>
            </w:r>
            <w:r>
              <w:rPr>
                <w:rFonts w:ascii="Times New Roman" w:cs="Times New Roman" w:eastAsia="Times New Roman" w:hAnsi="Times New Roman"/>
                <w:sz w:val="26"/>
                <w:szCs w:val="26"/>
                <w:color w:val="auto"/>
                <w:vertAlign w:val="superscript"/>
              </w:rPr>
              <w:t>(1)</w:t>
            </w:r>
          </w:p>
        </w:tc>
        <w:tc>
          <w:tcPr>
            <w:tcW w:w="7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(65,419)</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41,755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(107,174)</w:t>
            </w:r>
          </w:p>
        </w:tc>
        <w:tc>
          <w:tcPr>
            <w:tcW w:w="820" w:type="dxa"/>
            <w:vAlign w:val="bottom"/>
            <w:tcBorders>
              <w:right w:val="single" w:sz="8" w:color="ECECEC"/>
            </w:tcBorders>
          </w:tcPr>
          <w:p>
            <w:pPr>
              <w:jc w:val="right"/>
              <w:ind w:right="79"/>
              <w:spacing w:after="0"/>
              <w:rPr>
                <w:sz w:val="20"/>
                <w:szCs w:val="20"/>
                <w:color w:val="auto"/>
              </w:rPr>
            </w:pPr>
            <w:r>
              <w:rPr>
                <w:rFonts w:ascii="Times New Roman" w:cs="Times New Roman" w:eastAsia="Times New Roman" w:hAnsi="Times New Roman"/>
                <w:sz w:val="16"/>
                <w:szCs w:val="16"/>
                <w:color w:val="auto"/>
              </w:rPr>
              <w:t>(257)%</w:t>
            </w:r>
          </w:p>
        </w:tc>
        <w:tc>
          <w:tcPr>
            <w:tcW w:w="8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5"/>
              </w:rPr>
              <w:t>(177,217)</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41,472</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(218,689)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20" w:type="dxa"/>
            <w:vAlign w:val="bottom"/>
            <w:tcBorders>
              <w:right w:val="single" w:sz="8" w:color="ECECEC"/>
            </w:tcBorders>
          </w:tcPr>
          <w:p>
            <w:pPr>
              <w:spacing w:after="0" w:line="243" w:lineRule="exact"/>
              <w:rPr>
                <w:sz w:val="20"/>
                <w:szCs w:val="20"/>
                <w:color w:val="auto"/>
              </w:rPr>
            </w:pPr>
            <w:r>
              <w:rPr>
                <w:rFonts w:ascii="Times New Roman" w:cs="Times New Roman" w:eastAsia="Times New Roman" w:hAnsi="Times New Roman"/>
                <w:sz w:val="16"/>
                <w:szCs w:val="16"/>
                <w:color w:val="auto"/>
              </w:rPr>
              <w:t xml:space="preserve">EBITDA margin </w:t>
            </w:r>
            <w:r>
              <w:rPr>
                <w:rFonts w:ascii="Times New Roman" w:cs="Times New Roman" w:eastAsia="Times New Roman" w:hAnsi="Times New Roman"/>
                <w:sz w:val="26"/>
                <w:szCs w:val="26"/>
                <w:color w:val="auto"/>
                <w:vertAlign w:val="superscript"/>
              </w:rPr>
              <w:t>(1)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(197)%</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ECECEC"/>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5020" w:type="dxa"/>
            <w:vAlign w:val="bottom"/>
            <w:tcBorders>
              <w:right w:val="single" w:sz="8" w:color="ECECEC"/>
            </w:tcBorders>
          </w:tcPr>
          <w:p>
            <w:pPr>
              <w:spacing w:after="0" w:line="243"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6"/>
                <w:szCs w:val="26"/>
                <w:color w:val="auto"/>
                <w:vertAlign w:val="superscript"/>
              </w:rPr>
              <w:t>(1)</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10,317</w:t>
            </w:r>
          </w:p>
        </w:tc>
        <w:tc>
          <w:tcPr>
            <w:tcW w:w="2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29,762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820" w:type="dxa"/>
            <w:vAlign w:val="bottom"/>
            <w:tcBorders>
              <w:right w:val="single" w:sz="8" w:color="ECECEC"/>
            </w:tcBorders>
          </w:tcPr>
          <w:p>
            <w:pPr>
              <w:jc w:val="right"/>
              <w:ind w:right="79"/>
              <w:spacing w:after="0"/>
              <w:rPr>
                <w:sz w:val="20"/>
                <w:szCs w:val="20"/>
                <w:color w:val="auto"/>
              </w:rPr>
            </w:pPr>
            <w:r>
              <w:rPr>
                <w:rFonts w:ascii="Times New Roman" w:cs="Times New Roman" w:eastAsia="Times New Roman" w:hAnsi="Times New Roman"/>
                <w:sz w:val="16"/>
                <w:szCs w:val="16"/>
                <w:color w:val="auto"/>
              </w:rPr>
              <w:t>(65)%</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50,442</w:t>
            </w:r>
          </w:p>
        </w:tc>
        <w:tc>
          <w:tcPr>
            <w:tcW w:w="220" w:type="dxa"/>
            <w:vAlign w:val="bottom"/>
          </w:tcPr>
          <w:p>
            <w:pPr>
              <w:spacing w:after="0"/>
              <w:rPr>
                <w:sz w:val="21"/>
                <w:szCs w:val="21"/>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73,265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20" w:type="dxa"/>
            <w:vAlign w:val="bottom"/>
            <w:tcBorders>
              <w:bottom w:val="single" w:sz="8" w:color="auto"/>
              <w:right w:val="single" w:sz="8" w:color="ECECEC"/>
            </w:tcBorders>
          </w:tcPr>
          <w:p>
            <w:pPr>
              <w:spacing w:after="0" w:line="256" w:lineRule="exact"/>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6"/>
                <w:szCs w:val="26"/>
                <w:color w:val="auto"/>
                <w:vertAlign w:val="superscript"/>
              </w:rPr>
              <w:t>(1)</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ECECEC"/>
            </w:tcBorders>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-3685540</wp:posOffset>
            </wp:positionV>
            <wp:extent cx="480060" cy="36772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480060" cy="367728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-3685540</wp:posOffset>
            </wp:positionV>
            <wp:extent cx="506095" cy="36772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506095" cy="36772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7" w:lineRule="exact"/>
        <w:rPr>
          <w:sz w:val="20"/>
          <w:szCs w:val="20"/>
          <w:color w:val="auto"/>
        </w:rPr>
      </w:pPr>
    </w:p>
    <w:p>
      <w:pPr>
        <w:ind w:left="340" w:hanging="332"/>
        <w:spacing w:after="0" w:line="282"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Gross mining margin, EBITDA, EBITDA margin, Adjusted EBITDA and Adjusted EBITDA margin, are non-IFRS performance measures; refer to the Non-IFRS Financial Performance Measures section of the Company’s MD&amp;A.</w:t>
      </w:r>
    </w:p>
    <w:p>
      <w:pPr>
        <w:spacing w:after="0" w:line="368"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color w:val="auto"/>
        </w:rPr>
        <w:t>Bitfarms Ltd. Reconciliation of Consolidated Net Income (loss) to EBITDA and Adjusted EBITDA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40" w:type="dxa"/>
            <w:vAlign w:val="bottom"/>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in thousands except where indicated)</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right w:val="single" w:sz="8" w:color="ECECEC"/>
            </w:tcBorders>
          </w:tcPr>
          <w:p>
            <w:pPr>
              <w:spacing w:after="0"/>
              <w:rPr>
                <w:sz w:val="18"/>
                <w:szCs w:val="18"/>
                <w:color w:val="auto"/>
              </w:rPr>
            </w:pPr>
          </w:p>
        </w:tc>
        <w:tc>
          <w:tcPr>
            <w:tcW w:w="5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auto"/>
            </w:tcBorders>
            <w:shd w:val="clear" w:color="auto" w:fill="ECECEC"/>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2021</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 Change</w:t>
            </w:r>
          </w:p>
        </w:tc>
        <w:tc>
          <w:tcPr>
            <w:tcW w:w="820" w:type="dxa"/>
            <w:vAlign w:val="bottom"/>
            <w:tcBorders>
              <w:bottom w:val="single" w:sz="8" w:color="auto"/>
              <w:right w:val="single" w:sz="8" w:color="ECECEC"/>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5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shd w:val="clear" w:color="auto" w:fill="ECECEC"/>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2021</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 Change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auto"/>
              <w:right w:val="single" w:sz="8" w:color="ECECEC"/>
            </w:tcBorders>
          </w:tcPr>
          <w:p>
            <w:pPr>
              <w:spacing w:after="0"/>
              <w:rPr>
                <w:sz w:val="18"/>
                <w:szCs w:val="18"/>
                <w:color w:val="auto"/>
              </w:rPr>
            </w:pPr>
          </w:p>
        </w:tc>
        <w:tc>
          <w:tcPr>
            <w:tcW w:w="540" w:type="dxa"/>
            <w:vAlign w:val="bottom"/>
            <w:tcBorders>
              <w:bottom w:val="single" w:sz="8" w:color="auto"/>
            </w:tcBorders>
            <w:shd w:val="clear" w:color="auto" w:fill="ECECEC"/>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ECECEC"/>
            </w:tcBorders>
          </w:tcPr>
          <w:p>
            <w:pPr>
              <w:spacing w:after="0"/>
              <w:rPr>
                <w:sz w:val="18"/>
                <w:szCs w:val="18"/>
                <w:color w:val="auto"/>
              </w:rPr>
            </w:pPr>
          </w:p>
        </w:tc>
        <w:tc>
          <w:tcPr>
            <w:tcW w:w="580" w:type="dxa"/>
            <w:vAlign w:val="bottom"/>
            <w:tcBorders>
              <w:bottom w:val="single" w:sz="8" w:color="auto"/>
            </w:tcBorders>
            <w:shd w:val="clear" w:color="auto" w:fill="ECECEC"/>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54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33,247</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44,774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(11,527)</w:t>
            </w:r>
          </w:p>
        </w:tc>
        <w:tc>
          <w:tcPr>
            <w:tcW w:w="820" w:type="dxa"/>
            <w:vAlign w:val="bottom"/>
            <w:tcBorders>
              <w:bottom w:val="single" w:sz="8" w:color="auto"/>
              <w:right w:val="single" w:sz="8" w:color="ECECEC"/>
            </w:tcBorders>
          </w:tcPr>
          <w:p>
            <w:pPr>
              <w:jc w:val="right"/>
              <w:ind w:right="59"/>
              <w:spacing w:after="0"/>
              <w:rPr>
                <w:sz w:val="20"/>
                <w:szCs w:val="20"/>
                <w:color w:val="auto"/>
              </w:rPr>
            </w:pPr>
            <w:r>
              <w:rPr>
                <w:rFonts w:ascii="Times New Roman" w:cs="Times New Roman" w:eastAsia="Times New Roman" w:hAnsi="Times New Roman"/>
                <w:sz w:val="16"/>
                <w:szCs w:val="16"/>
                <w:color w:val="auto"/>
              </w:rPr>
              <w:t>(26)%</w:t>
            </w:r>
          </w:p>
        </w:tc>
        <w:tc>
          <w:tcPr>
            <w:tcW w:w="580" w:type="dxa"/>
            <w:vAlign w:val="bottom"/>
            <w:tcBorders>
              <w:bottom w:val="single" w:sz="8" w:color="auto"/>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115,391</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109,893</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5,498</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auto"/>
              <w:right w:val="single" w:sz="8" w:color="ECECE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ECECE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Net (loss) income before income taxes</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(89,533)</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34,706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(124,239)</w:t>
            </w:r>
          </w:p>
        </w:tc>
        <w:tc>
          <w:tcPr>
            <w:tcW w:w="820" w:type="dxa"/>
            <w:vAlign w:val="bottom"/>
            <w:tcBorders>
              <w:bottom w:val="single" w:sz="8" w:color="auto"/>
              <w:right w:val="single" w:sz="8" w:color="ECECEC"/>
            </w:tcBorders>
          </w:tcPr>
          <w:p>
            <w:pPr>
              <w:jc w:val="right"/>
              <w:ind w:right="59"/>
              <w:spacing w:after="0"/>
              <w:rPr>
                <w:sz w:val="20"/>
                <w:szCs w:val="20"/>
                <w:color w:val="auto"/>
              </w:rPr>
            </w:pPr>
            <w:r>
              <w:rPr>
                <w:rFonts w:ascii="Times New Roman" w:cs="Times New Roman" w:eastAsia="Times New Roman" w:hAnsi="Times New Roman"/>
                <w:sz w:val="16"/>
                <w:szCs w:val="16"/>
                <w:color w:val="auto"/>
              </w:rPr>
              <w:t>(358)%</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(239,810)</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24,700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(264,510)</w:t>
            </w: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i w:val="1"/>
                <w:iCs w:val="1"/>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1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3,394</w:t>
            </w:r>
          </w:p>
        </w:tc>
        <w:tc>
          <w:tcPr>
            <w:tcW w:w="16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788</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2,606</w:t>
            </w:r>
          </w:p>
        </w:tc>
        <w:tc>
          <w:tcPr>
            <w:tcW w:w="820" w:type="dxa"/>
            <w:vAlign w:val="bottom"/>
            <w:tcBorders>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331%</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10,950</w:t>
            </w:r>
          </w:p>
        </w:tc>
        <w:tc>
          <w:tcPr>
            <w:tcW w:w="18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2,583</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8,367</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20,720</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6,261</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14,459</w:t>
            </w:r>
          </w:p>
        </w:tc>
        <w:tc>
          <w:tcPr>
            <w:tcW w:w="820" w:type="dxa"/>
            <w:vAlign w:val="bottom"/>
            <w:tcBorders>
              <w:bottom w:val="single" w:sz="8" w:color="auto"/>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51,643</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14,189</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37,454</w:t>
            </w:r>
          </w:p>
        </w:tc>
        <w:tc>
          <w:tcPr>
            <w:tcW w:w="7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(65,419)</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41,755</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(107,174)</w:t>
            </w:r>
          </w:p>
        </w:tc>
        <w:tc>
          <w:tcPr>
            <w:tcW w:w="820" w:type="dxa"/>
            <w:vAlign w:val="bottom"/>
            <w:tcBorders>
              <w:bottom w:val="single" w:sz="8" w:color="auto"/>
              <w:right w:val="single" w:sz="8" w:color="ECECEC"/>
            </w:tcBorders>
          </w:tcPr>
          <w:p>
            <w:pPr>
              <w:jc w:val="right"/>
              <w:ind w:right="59"/>
              <w:spacing w:after="0"/>
              <w:rPr>
                <w:sz w:val="20"/>
                <w:szCs w:val="20"/>
                <w:color w:val="auto"/>
              </w:rPr>
            </w:pPr>
            <w:r>
              <w:rPr>
                <w:rFonts w:ascii="Times New Roman" w:cs="Times New Roman" w:eastAsia="Times New Roman" w:hAnsi="Times New Roman"/>
                <w:sz w:val="16"/>
                <w:szCs w:val="16"/>
                <w:color w:val="auto"/>
              </w:rPr>
              <w:t>(257)%</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(177,217)</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41,472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(218,689)</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i w:val="1"/>
                <w:iCs w:val="1"/>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1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Share-based payment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3,961</w:t>
            </w:r>
          </w:p>
        </w:tc>
        <w:tc>
          <w:tcPr>
            <w:tcW w:w="16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5,787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820" w:type="dxa"/>
            <w:vAlign w:val="bottom"/>
            <w:tcBorders>
              <w:right w:val="single" w:sz="8" w:color="ECECEC"/>
            </w:tcBorders>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17,993</w:t>
            </w:r>
          </w:p>
        </w:tc>
        <w:tc>
          <w:tcPr>
            <w:tcW w:w="18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12,549</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5,444</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Realized loss on disposition of digital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44,329</w:t>
            </w:r>
          </w:p>
        </w:tc>
        <w:tc>
          <w:tcPr>
            <w:tcW w:w="16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177</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44,152</w:t>
            </w:r>
          </w:p>
        </w:tc>
        <w:tc>
          <w:tcPr>
            <w:tcW w:w="820" w:type="dxa"/>
            <w:vAlign w:val="bottom"/>
            <w:tcBorders>
              <w:right w:val="single" w:sz="8" w:color="ECECEC"/>
            </w:tcBorders>
          </w:tcPr>
          <w:p>
            <w:pPr>
              <w:jc w:val="right"/>
              <w:ind w:right="239"/>
              <w:spacing w:after="0"/>
              <w:rPr>
                <w:sz w:val="20"/>
                <w:szCs w:val="20"/>
                <w:color w:val="auto"/>
              </w:rPr>
            </w:pPr>
            <w:r>
              <w:rPr>
                <w:rFonts w:ascii="Times New Roman" w:cs="Times New Roman" w:eastAsia="Times New Roman" w:hAnsi="Times New Roman"/>
                <w:sz w:val="16"/>
                <w:szCs w:val="16"/>
                <w:i w:val="1"/>
                <w:iCs w:val="1"/>
                <w:color w:val="auto"/>
              </w:rPr>
              <w:t>nm</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122,243</w:t>
            </w:r>
          </w:p>
        </w:tc>
        <w:tc>
          <w:tcPr>
            <w:tcW w:w="18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152</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122,091</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04"/>
        </w:trPr>
        <w:tc>
          <w:tcPr>
            <w:tcW w:w="51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Change in unrealized (gain) loss on revaluation of digital assets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(45,655)</w:t>
            </w:r>
          </w:p>
        </w:tc>
        <w:tc>
          <w:tcPr>
            <w:tcW w:w="1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(13,893)</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(31,762)</w:t>
            </w:r>
          </w:p>
        </w:tc>
        <w:tc>
          <w:tcPr>
            <w:tcW w:w="820" w:type="dxa"/>
            <w:vAlign w:val="bottom"/>
            <w:tcBorders>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229%</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21,118</w:t>
            </w:r>
          </w:p>
        </w:tc>
        <w:tc>
          <w:tcPr>
            <w:tcW w:w="18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992</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20,126</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i w:val="1"/>
                <w:iCs w:val="1"/>
                <w:color w:val="auto"/>
              </w:rPr>
              <w:t>nm</w:t>
            </w:r>
          </w:p>
        </w:tc>
        <w:tc>
          <w:tcPr>
            <w:tcW w:w="0" w:type="dxa"/>
            <w:vAlign w:val="bottom"/>
          </w:tcPr>
          <w:p>
            <w:pPr>
              <w:spacing w:after="0"/>
              <w:rPr>
                <w:sz w:val="1"/>
                <w:szCs w:val="1"/>
                <w:color w:val="auto"/>
              </w:rPr>
            </w:pPr>
          </w:p>
        </w:tc>
      </w:tr>
      <w:tr>
        <w:trPr>
          <w:trHeight w:val="203"/>
        </w:trPr>
        <w:tc>
          <w:tcPr>
            <w:tcW w:w="51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Impairment on equipment and construction prepayments, property, plant and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84,116</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Borders>
              <w:right w:val="single" w:sz="8" w:color="ECECEC"/>
            </w:tcBorders>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84,116</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1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equipment and right-of-use assets</w:t>
            </w:r>
          </w:p>
        </w:tc>
        <w:tc>
          <w:tcPr>
            <w:tcW w:w="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84,116</w:t>
            </w:r>
          </w:p>
        </w:tc>
        <w:tc>
          <w:tcPr>
            <w:tcW w:w="820" w:type="dxa"/>
            <w:vAlign w:val="bottom"/>
            <w:tcBorders>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84,116</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Impairment on goodwill</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17,900</w:t>
            </w:r>
          </w:p>
        </w:tc>
        <w:tc>
          <w:tcPr>
            <w:tcW w:w="180" w:type="dxa"/>
            <w:vAlign w:val="bottom"/>
          </w:tcPr>
          <w:p>
            <w:pPr>
              <w:spacing w:after="0"/>
              <w:rPr>
                <w:sz w:val="17"/>
                <w:szCs w:val="17"/>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17,900</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Impairment reversal on property, plant and equipment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(1,860)</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1,860</w:t>
            </w:r>
          </w:p>
        </w:tc>
        <w:tc>
          <w:tcPr>
            <w:tcW w:w="820" w:type="dxa"/>
            <w:vAlign w:val="bottom"/>
            <w:tcBorders>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(1,860)</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1,860</w:t>
            </w:r>
          </w:p>
        </w:tc>
        <w:tc>
          <w:tcPr>
            <w:tcW w:w="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Net financial (income) expenses and other</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(11,015)</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(2,204)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(8,811)</w:t>
            </w:r>
          </w:p>
        </w:tc>
        <w:tc>
          <w:tcPr>
            <w:tcW w:w="820" w:type="dxa"/>
            <w:vAlign w:val="bottom"/>
            <w:tcBorders>
              <w:bottom w:val="single" w:sz="8" w:color="auto"/>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400%</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(35,711)</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19,960</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(55,671)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12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10,317</w:t>
            </w:r>
          </w:p>
        </w:tc>
        <w:tc>
          <w:tcPr>
            <w:tcW w:w="16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29,762</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(19,445)</w:t>
            </w:r>
          </w:p>
        </w:tc>
        <w:tc>
          <w:tcPr>
            <w:tcW w:w="820" w:type="dxa"/>
            <w:vAlign w:val="bottom"/>
            <w:tcBorders>
              <w:right w:val="single" w:sz="8" w:color="ECECEC"/>
            </w:tcBorders>
          </w:tcPr>
          <w:p>
            <w:pPr>
              <w:jc w:val="right"/>
              <w:ind w:right="59"/>
              <w:spacing w:after="0"/>
              <w:rPr>
                <w:sz w:val="20"/>
                <w:szCs w:val="20"/>
                <w:color w:val="auto"/>
              </w:rPr>
            </w:pPr>
            <w:r>
              <w:rPr>
                <w:rFonts w:ascii="Times New Roman" w:cs="Times New Roman" w:eastAsia="Times New Roman" w:hAnsi="Times New Roman"/>
                <w:sz w:val="16"/>
                <w:szCs w:val="16"/>
                <w:color w:val="auto"/>
              </w:rPr>
              <w:t>(65)%</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50,442</w:t>
            </w:r>
          </w:p>
        </w:tc>
        <w:tc>
          <w:tcPr>
            <w:tcW w:w="180" w:type="dxa"/>
            <w:vAlign w:val="bottom"/>
          </w:tcPr>
          <w:p>
            <w:pPr>
              <w:spacing w:after="0"/>
              <w:rPr>
                <w:sz w:val="16"/>
                <w:szCs w:val="16"/>
                <w:color w:val="auto"/>
              </w:rPr>
            </w:pP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73,265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(22,823)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Adjusted EBITDA margin</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ECECEC"/>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-2331085</wp:posOffset>
            </wp:positionV>
            <wp:extent cx="445770" cy="23228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445770" cy="232283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-2331085</wp:posOffset>
            </wp:positionV>
            <wp:extent cx="471805" cy="2322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471805" cy="23228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 xml:space="preserve">nm: </w:t>
      </w:r>
      <w:r>
        <w:rPr>
          <w:rFonts w:ascii="Times New Roman" w:cs="Times New Roman" w:eastAsia="Times New Roman" w:hAnsi="Times New Roman"/>
          <w:sz w:val="18"/>
          <w:szCs w:val="18"/>
          <w:color w:val="auto"/>
        </w:rPr>
        <w:t>not meaningful</w:t>
      </w:r>
    </w:p>
    <w:p>
      <w:pPr>
        <w:spacing w:after="0" w:line="200" w:lineRule="exact"/>
        <w:rPr>
          <w:sz w:val="20"/>
          <w:szCs w:val="20"/>
          <w:color w:val="auto"/>
        </w:rPr>
      </w:pPr>
    </w:p>
    <w:p>
      <w:pPr>
        <w:spacing w:after="0" w:line="214"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Bitfarms Ltd. Calculation of Gross Mining Profit and Gross Mining Margin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8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0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5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in thousands except where indicated)</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240" w:type="dxa"/>
            <w:vAlign w:val="bottom"/>
            <w:tcBorders>
              <w:bottom w:val="single" w:sz="8" w:color="auto"/>
              <w:right w:val="single" w:sz="8" w:color="ECECEC"/>
            </w:tcBorders>
          </w:tcPr>
          <w:p>
            <w:pPr>
              <w:spacing w:after="0"/>
              <w:rPr>
                <w:sz w:val="18"/>
                <w:szCs w:val="18"/>
                <w:color w:val="auto"/>
              </w:rPr>
            </w:pPr>
          </w:p>
        </w:tc>
        <w:tc>
          <w:tcPr>
            <w:tcW w:w="680" w:type="dxa"/>
            <w:vAlign w:val="bottom"/>
            <w:tcBorders>
              <w:bottom w:val="single" w:sz="8" w:color="auto"/>
            </w:tcBorders>
            <w:gridSpan w:val="2"/>
            <w:shd w:val="clear" w:color="auto" w:fill="ECECE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2021</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 Change</w:t>
            </w:r>
          </w:p>
        </w:tc>
        <w:tc>
          <w:tcPr>
            <w:tcW w:w="820" w:type="dxa"/>
            <w:vAlign w:val="bottom"/>
            <w:tcBorders>
              <w:bottom w:val="single" w:sz="8" w:color="auto"/>
              <w:right w:val="single" w:sz="8" w:color="ECECEC"/>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680" w:type="dxa"/>
            <w:vAlign w:val="bottom"/>
            <w:tcBorders>
              <w:bottom w:val="single" w:sz="8" w:color="auto"/>
            </w:tcBorders>
            <w:gridSpan w:val="2"/>
            <w:shd w:val="clear" w:color="auto" w:fill="ECECE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2021</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 Change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20" w:type="dxa"/>
            <w:vAlign w:val="bottom"/>
          </w:tcPr>
          <w:p>
            <w:pPr>
              <w:spacing w:after="0"/>
              <w:rPr>
                <w:sz w:val="18"/>
                <w:szCs w:val="18"/>
                <w:color w:val="auto"/>
              </w:rPr>
            </w:pPr>
          </w:p>
        </w:tc>
      </w:tr>
      <w:tr>
        <w:trPr>
          <w:trHeight w:val="209"/>
        </w:trPr>
        <w:tc>
          <w:tcPr>
            <w:tcW w:w="524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Gross (loss) profit</w:t>
            </w:r>
          </w:p>
        </w:tc>
        <w:tc>
          <w:tcPr>
            <w:tcW w:w="680" w:type="dxa"/>
            <w:vAlign w:val="bottom"/>
            <w:tcBorders>
              <w:bottom w:val="single" w:sz="8" w:color="auto"/>
            </w:tcBorders>
            <w:gridSpan w:val="2"/>
            <w:shd w:val="clear" w:color="auto" w:fill="ECECE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(3,939)</w:t>
            </w: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29,468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(33,407)</w:t>
            </w:r>
          </w:p>
        </w:tc>
        <w:tc>
          <w:tcPr>
            <w:tcW w:w="820" w:type="dxa"/>
            <w:vAlign w:val="bottom"/>
            <w:tcBorders>
              <w:bottom w:val="single" w:sz="8" w:color="auto"/>
              <w:right w:val="single" w:sz="8" w:color="ECECEC"/>
            </w:tcBorders>
          </w:tcPr>
          <w:p>
            <w:pPr>
              <w:jc w:val="right"/>
              <w:ind w:right="59"/>
              <w:spacing w:after="0"/>
              <w:rPr>
                <w:sz w:val="20"/>
                <w:szCs w:val="20"/>
                <w:color w:val="auto"/>
              </w:rPr>
            </w:pPr>
            <w:r>
              <w:rPr>
                <w:rFonts w:ascii="Times New Roman" w:cs="Times New Roman" w:eastAsia="Times New Roman" w:hAnsi="Times New Roman"/>
                <w:sz w:val="16"/>
                <w:szCs w:val="16"/>
                <w:color w:val="auto"/>
              </w:rPr>
              <w:t>(113)%</w:t>
            </w:r>
          </w:p>
        </w:tc>
        <w:tc>
          <w:tcPr>
            <w:tcW w:w="680" w:type="dxa"/>
            <w:vAlign w:val="bottom"/>
            <w:tcBorders>
              <w:bottom w:val="single" w:sz="8" w:color="auto"/>
            </w:tcBorders>
            <w:gridSpan w:val="2"/>
            <w:shd w:val="clear" w:color="auto" w:fill="ECECEC"/>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22,602</w:t>
            </w: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72,135</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(49,533)</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8"/>
                <w:szCs w:val="18"/>
                <w:color w:val="auto"/>
              </w:rPr>
            </w:pPr>
          </w:p>
        </w:tc>
      </w:tr>
      <w:tr>
        <w:trPr>
          <w:trHeight w:val="203"/>
        </w:trPr>
        <w:tc>
          <w:tcPr>
            <w:tcW w:w="524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Non-mining revenues (1)</w:t>
            </w:r>
          </w:p>
        </w:tc>
        <w:tc>
          <w:tcPr>
            <w:tcW w:w="5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(971)</w:t>
            </w:r>
          </w:p>
        </w:tc>
        <w:tc>
          <w:tcPr>
            <w:tcW w:w="160" w:type="dxa"/>
            <w:vAlign w:val="bottom"/>
            <w:shd w:val="clear" w:color="auto" w:fill="ECECEC"/>
          </w:tcPr>
          <w:p>
            <w:pPr>
              <w:spacing w:after="0"/>
              <w:rPr>
                <w:sz w:val="17"/>
                <w:szCs w:val="17"/>
                <w:color w:val="auto"/>
              </w:rPr>
            </w:pP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(1,315)</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344</w:t>
            </w:r>
          </w:p>
        </w:tc>
        <w:tc>
          <w:tcPr>
            <w:tcW w:w="820" w:type="dxa"/>
            <w:vAlign w:val="bottom"/>
            <w:tcBorders>
              <w:right w:val="single" w:sz="8" w:color="ECECEC"/>
            </w:tcBorders>
          </w:tcPr>
          <w:p>
            <w:pPr>
              <w:jc w:val="right"/>
              <w:ind w:right="59"/>
              <w:spacing w:after="0"/>
              <w:rPr>
                <w:sz w:val="20"/>
                <w:szCs w:val="20"/>
                <w:color w:val="auto"/>
              </w:rPr>
            </w:pPr>
            <w:r>
              <w:rPr>
                <w:rFonts w:ascii="Times New Roman" w:cs="Times New Roman" w:eastAsia="Times New Roman" w:hAnsi="Times New Roman"/>
                <w:sz w:val="16"/>
                <w:szCs w:val="16"/>
                <w:color w:val="auto"/>
              </w:rPr>
              <w:t>(26)%</w:t>
            </w:r>
          </w:p>
        </w:tc>
        <w:tc>
          <w:tcPr>
            <w:tcW w:w="520" w:type="dxa"/>
            <w:vAlign w:val="bottom"/>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(2,342)</w:t>
            </w:r>
          </w:p>
        </w:tc>
        <w:tc>
          <w:tcPr>
            <w:tcW w:w="160" w:type="dxa"/>
            <w:vAlign w:val="bottom"/>
            <w:shd w:val="clear" w:color="auto" w:fill="ECECEC"/>
          </w:tcPr>
          <w:p>
            <w:pPr>
              <w:spacing w:after="0"/>
              <w:rPr>
                <w:sz w:val="17"/>
                <w:szCs w:val="17"/>
                <w:color w:val="auto"/>
              </w:rPr>
            </w:pP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(3,219)</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877</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7"/>
                <w:szCs w:val="17"/>
                <w:color w:val="auto"/>
              </w:rPr>
            </w:pPr>
          </w:p>
        </w:tc>
      </w:tr>
      <w:tr>
        <w:trPr>
          <w:trHeight w:val="187"/>
        </w:trPr>
        <w:tc>
          <w:tcPr>
            <w:tcW w:w="524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20,720</w:t>
            </w:r>
          </w:p>
        </w:tc>
        <w:tc>
          <w:tcPr>
            <w:tcW w:w="160" w:type="dxa"/>
            <w:vAlign w:val="bottom"/>
          </w:tcPr>
          <w:p>
            <w:pPr>
              <w:spacing w:after="0"/>
              <w:rPr>
                <w:sz w:val="16"/>
                <w:szCs w:val="16"/>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6,261</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14,459</w:t>
            </w:r>
          </w:p>
        </w:tc>
        <w:tc>
          <w:tcPr>
            <w:tcW w:w="820" w:type="dxa"/>
            <w:vAlign w:val="bottom"/>
            <w:tcBorders>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231%</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51,643</w:t>
            </w:r>
          </w:p>
        </w:tc>
        <w:tc>
          <w:tcPr>
            <w:tcW w:w="160" w:type="dxa"/>
            <w:vAlign w:val="bottom"/>
          </w:tcPr>
          <w:p>
            <w:pPr>
              <w:spacing w:after="0"/>
              <w:rPr>
                <w:sz w:val="16"/>
                <w:szCs w:val="16"/>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14,189</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37,454</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264%</w:t>
            </w:r>
          </w:p>
        </w:tc>
        <w:tc>
          <w:tcPr>
            <w:tcW w:w="20" w:type="dxa"/>
            <w:vAlign w:val="bottom"/>
          </w:tcPr>
          <w:p>
            <w:pPr>
              <w:spacing w:after="0"/>
              <w:rPr>
                <w:sz w:val="16"/>
                <w:szCs w:val="16"/>
                <w:color w:val="auto"/>
              </w:rPr>
            </w:pPr>
          </w:p>
        </w:tc>
      </w:tr>
      <w:tr>
        <w:trPr>
          <w:trHeight w:val="203"/>
        </w:trPr>
        <w:tc>
          <w:tcPr>
            <w:tcW w:w="524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Purchases of electrical components and other</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690</w:t>
            </w:r>
          </w:p>
        </w:tc>
        <w:tc>
          <w:tcPr>
            <w:tcW w:w="160" w:type="dxa"/>
            <w:vAlign w:val="bottom"/>
          </w:tcPr>
          <w:p>
            <w:pPr>
              <w:spacing w:after="0"/>
              <w:rPr>
                <w:sz w:val="17"/>
                <w:szCs w:val="17"/>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586</w:t>
            </w:r>
          </w:p>
        </w:tc>
        <w:tc>
          <w:tcPr>
            <w:tcW w:w="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820" w:type="dxa"/>
            <w:vAlign w:val="bottom"/>
            <w:tcBorders>
              <w:right w:val="single" w:sz="8" w:color="ECECEC"/>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1,262</w:t>
            </w:r>
          </w:p>
        </w:tc>
        <w:tc>
          <w:tcPr>
            <w:tcW w:w="160" w:type="dxa"/>
            <w:vAlign w:val="bottom"/>
          </w:tcPr>
          <w:p>
            <w:pPr>
              <w:spacing w:after="0"/>
              <w:rPr>
                <w:sz w:val="17"/>
                <w:szCs w:val="17"/>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1,387</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17"/>
                <w:szCs w:val="17"/>
                <w:color w:val="auto"/>
              </w:rPr>
            </w:pPr>
          </w:p>
        </w:tc>
      </w:tr>
      <w:tr>
        <w:trPr>
          <w:trHeight w:val="225"/>
        </w:trPr>
        <w:tc>
          <w:tcPr>
            <w:tcW w:w="524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Electrician salaries and payroll taxes</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289</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448</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20" w:type="dxa"/>
            <w:vAlign w:val="bottom"/>
            <w:tcBorders>
              <w:bottom w:val="single" w:sz="8" w:color="auto"/>
              <w:right w:val="single" w:sz="8" w:color="ECECEC"/>
            </w:tcBorders>
          </w:tcPr>
          <w:p>
            <w:pPr>
              <w:jc w:val="right"/>
              <w:ind w:right="59"/>
              <w:spacing w:after="0"/>
              <w:rPr>
                <w:sz w:val="20"/>
                <w:szCs w:val="20"/>
                <w:color w:val="auto"/>
              </w:rPr>
            </w:pPr>
            <w:r>
              <w:rPr>
                <w:rFonts w:ascii="Times New Roman" w:cs="Times New Roman" w:eastAsia="Times New Roman" w:hAnsi="Times New Roman"/>
                <w:sz w:val="16"/>
                <w:szCs w:val="16"/>
                <w:color w:val="auto"/>
              </w:rPr>
              <w:t>(35)%</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924</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1,290</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(366)</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9"/>
                <w:szCs w:val="19"/>
                <w:color w:val="auto"/>
              </w:rPr>
            </w:pPr>
          </w:p>
        </w:tc>
      </w:tr>
      <w:tr>
        <w:trPr>
          <w:trHeight w:val="187"/>
        </w:trPr>
        <w:tc>
          <w:tcPr>
            <w:tcW w:w="524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Gross mining profit (2)</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16,789</w:t>
            </w:r>
          </w:p>
        </w:tc>
        <w:tc>
          <w:tcPr>
            <w:tcW w:w="160" w:type="dxa"/>
            <w:vAlign w:val="bottom"/>
          </w:tcPr>
          <w:p>
            <w:pPr>
              <w:spacing w:after="0"/>
              <w:rPr>
                <w:sz w:val="16"/>
                <w:szCs w:val="16"/>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35,448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(18,659)</w:t>
            </w:r>
          </w:p>
        </w:tc>
        <w:tc>
          <w:tcPr>
            <w:tcW w:w="820" w:type="dxa"/>
            <w:vAlign w:val="bottom"/>
            <w:tcBorders>
              <w:right w:val="single" w:sz="8" w:color="ECECEC"/>
            </w:tcBorders>
          </w:tcPr>
          <w:p>
            <w:pPr>
              <w:jc w:val="right"/>
              <w:ind w:right="59"/>
              <w:spacing w:after="0"/>
              <w:rPr>
                <w:sz w:val="20"/>
                <w:szCs w:val="20"/>
                <w:color w:val="auto"/>
              </w:rPr>
            </w:pPr>
            <w:r>
              <w:rPr>
                <w:rFonts w:ascii="Times New Roman" w:cs="Times New Roman" w:eastAsia="Times New Roman" w:hAnsi="Times New Roman"/>
                <w:sz w:val="16"/>
                <w:szCs w:val="16"/>
                <w:color w:val="auto"/>
              </w:rPr>
              <w:t>(53)%</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74,089</w:t>
            </w:r>
          </w:p>
        </w:tc>
        <w:tc>
          <w:tcPr>
            <w:tcW w:w="160" w:type="dxa"/>
            <w:vAlign w:val="bottom"/>
          </w:tcPr>
          <w:p>
            <w:pPr>
              <w:spacing w:after="0"/>
              <w:rPr>
                <w:sz w:val="16"/>
                <w:szCs w:val="16"/>
                <w:color w:val="auto"/>
              </w:rPr>
            </w:pPr>
          </w:p>
        </w:tc>
        <w:tc>
          <w:tcPr>
            <w:tcW w:w="7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85,782</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(11,693)</w:t>
            </w:r>
          </w:p>
        </w:tc>
        <w:tc>
          <w:tcPr>
            <w:tcW w:w="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6"/>
                <w:szCs w:val="16"/>
                <w:color w:val="auto"/>
              </w:rPr>
            </w:pPr>
          </w:p>
        </w:tc>
      </w:tr>
      <w:tr>
        <w:trPr>
          <w:trHeight w:val="225"/>
        </w:trPr>
        <w:tc>
          <w:tcPr>
            <w:tcW w:w="524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Gross mining margin</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7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right w:val="single" w:sz="8" w:color="ECECEC"/>
            </w:tcBorders>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66%</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-814070</wp:posOffset>
            </wp:positionV>
            <wp:extent cx="428625" cy="8058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428625" cy="8058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-814070</wp:posOffset>
            </wp:positionV>
            <wp:extent cx="428625" cy="8058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428625" cy="8058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Non-mining revenues reconciliation: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5"/>
              </w:rPr>
              <w:t>Three months ended</w:t>
            </w: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(U.S.$ in thousands except where indicated)</w:t>
            </w:r>
          </w:p>
        </w:tc>
        <w:tc>
          <w:tcPr>
            <w:tcW w:w="6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auto"/>
              <w:right w:val="single" w:sz="8" w:color="ECECEC"/>
            </w:tcBorders>
          </w:tcPr>
          <w:p>
            <w:pPr>
              <w:spacing w:after="0"/>
              <w:rPr>
                <w:sz w:val="18"/>
                <w:szCs w:val="18"/>
                <w:color w:val="auto"/>
              </w:rPr>
            </w:pPr>
          </w:p>
        </w:tc>
        <w:tc>
          <w:tcPr>
            <w:tcW w:w="600" w:type="dxa"/>
            <w:vAlign w:val="bottom"/>
            <w:tcBorders>
              <w:bottom w:val="single" w:sz="8" w:color="auto"/>
              <w:right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 Change</w:t>
            </w:r>
          </w:p>
        </w:tc>
        <w:tc>
          <w:tcPr>
            <w:tcW w:w="860" w:type="dxa"/>
            <w:vAlign w:val="bottom"/>
            <w:tcBorders>
              <w:bottom w:val="single" w:sz="8" w:color="auto"/>
              <w:right w:val="single" w:sz="8" w:color="ECECEC"/>
            </w:tcBorders>
          </w:tcPr>
          <w:p>
            <w:pPr>
              <w:ind w:left="100"/>
              <w:spacing w:after="0"/>
              <w:rPr>
                <w:sz w:val="20"/>
                <w:szCs w:val="20"/>
                <w:color w:val="auto"/>
              </w:rPr>
            </w:pPr>
            <w:r>
              <w:rPr>
                <w:rFonts w:ascii="Times New Roman" w:cs="Times New Roman" w:eastAsia="Times New Roman" w:hAnsi="Times New Roman"/>
                <w:sz w:val="16"/>
                <w:szCs w:val="16"/>
                <w:color w:val="auto"/>
              </w:rPr>
              <w:t>% Change</w:t>
            </w:r>
          </w:p>
        </w:tc>
        <w:tc>
          <w:tcPr>
            <w:tcW w:w="620" w:type="dxa"/>
            <w:vAlign w:val="bottom"/>
            <w:tcBorders>
              <w:bottom w:val="single" w:sz="8" w:color="auto"/>
              <w:right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 Change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8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600" w:type="dxa"/>
            <w:vAlign w:val="bottom"/>
            <w:tcBorders>
              <w:bottom w:val="single" w:sz="8" w:color="auto"/>
              <w:right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33,247</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44,774</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(11,527)</w:t>
            </w:r>
          </w:p>
        </w:tc>
        <w:tc>
          <w:tcPr>
            <w:tcW w:w="860" w:type="dxa"/>
            <w:vAlign w:val="bottom"/>
            <w:tcBorders>
              <w:bottom w:val="single" w:sz="8" w:color="auto"/>
              <w:right w:val="single" w:sz="8" w:color="ECECEC"/>
            </w:tcBorders>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c>
          <w:tcPr>
            <w:tcW w:w="620" w:type="dxa"/>
            <w:vAlign w:val="bottom"/>
            <w:tcBorders>
              <w:bottom w:val="single" w:sz="8" w:color="auto"/>
              <w:right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115,391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109,893</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5,498</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80" w:type="dxa"/>
            <w:vAlign w:val="bottom"/>
            <w:tcBorders>
              <w:right w:val="single" w:sz="8" w:color="ECECEC"/>
            </w:tcBorders>
          </w:tcPr>
          <w:p>
            <w:pPr>
              <w:spacing w:after="0"/>
              <w:rPr>
                <w:sz w:val="20"/>
                <w:szCs w:val="20"/>
                <w:color w:val="auto"/>
              </w:rPr>
            </w:pPr>
            <w:r>
              <w:rPr>
                <w:rFonts w:ascii="Times New Roman" w:cs="Times New Roman" w:eastAsia="Times New Roman" w:hAnsi="Times New Roman"/>
                <w:sz w:val="16"/>
                <w:szCs w:val="16"/>
                <w:color w:val="auto"/>
              </w:rPr>
              <w:t>Less mining related revenues for the purpose of calculating gross mining margin:</w:t>
            </w:r>
          </w:p>
        </w:tc>
        <w:tc>
          <w:tcPr>
            <w:tcW w:w="600" w:type="dxa"/>
            <w:vAlign w:val="bottom"/>
            <w:tcBorders>
              <w:right w:val="single" w:sz="8" w:color="ECECEC"/>
            </w:tcBorders>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95"/>
              </w:rPr>
              <w:t>(32,276)</w:t>
            </w:r>
          </w:p>
        </w:tc>
        <w:tc>
          <w:tcPr>
            <w:tcW w:w="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Borders>
              <w:right w:val="single" w:sz="8" w:color="ECECEC"/>
            </w:tcBorders>
          </w:tcPr>
          <w:p>
            <w:pPr>
              <w:spacing w:after="0"/>
              <w:rPr>
                <w:sz w:val="17"/>
                <w:szCs w:val="17"/>
                <w:color w:val="auto"/>
              </w:rPr>
            </w:pPr>
          </w:p>
        </w:tc>
        <w:tc>
          <w:tcPr>
            <w:tcW w:w="620" w:type="dxa"/>
            <w:vAlign w:val="bottom"/>
            <w:tcBorders>
              <w:right w:val="single" w:sz="8" w:color="ECECEC"/>
            </w:tcBorders>
            <w:vMerge w:val="restart"/>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(113,049)</w:t>
            </w: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380" w:type="dxa"/>
            <w:vAlign w:val="bottom"/>
            <w:tcBorders>
              <w:right w:val="single" w:sz="8" w:color="ECECEC"/>
            </w:tcBorders>
          </w:tcPr>
          <w:p>
            <w:pPr>
              <w:ind w:left="120"/>
              <w:spacing w:after="0"/>
              <w:rPr>
                <w:sz w:val="20"/>
                <w:szCs w:val="20"/>
                <w:color w:val="auto"/>
              </w:rPr>
            </w:pPr>
            <w:r>
              <w:rPr>
                <w:rFonts w:ascii="Times New Roman" w:cs="Times New Roman" w:eastAsia="Times New Roman" w:hAnsi="Times New Roman"/>
                <w:sz w:val="16"/>
                <w:szCs w:val="16"/>
                <w:color w:val="auto"/>
              </w:rPr>
              <w:t>Mining revenues</w:t>
            </w:r>
          </w:p>
        </w:tc>
        <w:tc>
          <w:tcPr>
            <w:tcW w:w="600" w:type="dxa"/>
            <w:vAlign w:val="bottom"/>
            <w:tcBorders>
              <w:right w:val="single" w:sz="8" w:color="ECECEC"/>
            </w:tcBorders>
            <w:vMerge w:val="continue"/>
            <w:shd w:val="clear" w:color="auto" w:fill="ECECEC"/>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(43,459)</w:t>
            </w:r>
          </w:p>
        </w:tc>
        <w:tc>
          <w:tcPr>
            <w:tcW w:w="7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11,183</w:t>
            </w:r>
          </w:p>
        </w:tc>
        <w:tc>
          <w:tcPr>
            <w:tcW w:w="860" w:type="dxa"/>
            <w:vAlign w:val="bottom"/>
            <w:tcBorders>
              <w:right w:val="single" w:sz="8" w:color="ECECEC"/>
            </w:tcBorders>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c>
          <w:tcPr>
            <w:tcW w:w="620" w:type="dxa"/>
            <w:vAlign w:val="bottom"/>
            <w:tcBorders>
              <w:right w:val="single" w:sz="8" w:color="ECECEC"/>
            </w:tcBorders>
            <w:vMerge w:val="continue"/>
            <w:shd w:val="clear" w:color="auto" w:fill="ECECEC"/>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(106,001)</w:t>
            </w: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(7,048)</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380" w:type="dxa"/>
            <w:vAlign w:val="bottom"/>
            <w:tcBorders>
              <w:bottom w:val="single" w:sz="8" w:color="auto"/>
              <w:right w:val="single" w:sz="8" w:color="ECECEC"/>
            </w:tcBorders>
          </w:tcPr>
          <w:p>
            <w:pPr>
              <w:ind w:left="120"/>
              <w:spacing w:after="0"/>
              <w:rPr>
                <w:sz w:val="20"/>
                <w:szCs w:val="20"/>
                <w:color w:val="auto"/>
              </w:rPr>
            </w:pPr>
            <w:r>
              <w:rPr>
                <w:rFonts w:ascii="Times New Roman" w:cs="Times New Roman" w:eastAsia="Times New Roman" w:hAnsi="Times New Roman"/>
                <w:sz w:val="16"/>
                <w:szCs w:val="16"/>
                <w:color w:val="auto"/>
              </w:rPr>
              <w:t>Hosting revenues</w:t>
            </w:r>
          </w:p>
        </w:tc>
        <w:tc>
          <w:tcPr>
            <w:tcW w:w="600" w:type="dxa"/>
            <w:vAlign w:val="bottom"/>
            <w:tcBorders>
              <w:bottom w:val="single" w:sz="8" w:color="auto"/>
              <w:right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auto"/>
              <w:right w:val="single" w:sz="8" w:color="ECECEC"/>
            </w:tcBorders>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620" w:type="dxa"/>
            <w:vAlign w:val="bottom"/>
            <w:tcBorders>
              <w:bottom w:val="single" w:sz="8" w:color="auto"/>
              <w:right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673</w:t>
            </w:r>
          </w:p>
        </w:tc>
        <w:tc>
          <w:tcPr>
            <w:tcW w:w="7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auto"/>
              <w:right w:val="single" w:sz="8" w:color="ECECEC"/>
            </w:tcBorders>
          </w:tcPr>
          <w:p>
            <w:pPr>
              <w:spacing w:after="0"/>
              <w:rPr>
                <w:sz w:val="20"/>
                <w:szCs w:val="20"/>
                <w:color w:val="auto"/>
              </w:rPr>
            </w:pPr>
            <w:r>
              <w:rPr>
                <w:rFonts w:ascii="Times New Roman" w:cs="Times New Roman" w:eastAsia="Times New Roman" w:hAnsi="Times New Roman"/>
                <w:sz w:val="16"/>
                <w:szCs w:val="16"/>
                <w:b w:val="1"/>
                <w:bCs w:val="1"/>
                <w:color w:val="auto"/>
              </w:rPr>
              <w:t>Non-mining revenues</w:t>
            </w:r>
          </w:p>
        </w:tc>
        <w:tc>
          <w:tcPr>
            <w:tcW w:w="600" w:type="dxa"/>
            <w:vAlign w:val="bottom"/>
            <w:tcBorders>
              <w:bottom w:val="single" w:sz="8" w:color="auto"/>
              <w:right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971</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(344)</w:t>
            </w:r>
          </w:p>
        </w:tc>
        <w:tc>
          <w:tcPr>
            <w:tcW w:w="860" w:type="dxa"/>
            <w:vAlign w:val="bottom"/>
            <w:tcBorders>
              <w:bottom w:val="single" w:sz="8" w:color="auto"/>
              <w:right w:val="single" w:sz="8" w:color="ECECEC"/>
            </w:tcBorders>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c>
          <w:tcPr>
            <w:tcW w:w="620" w:type="dxa"/>
            <w:vAlign w:val="bottom"/>
            <w:tcBorders>
              <w:bottom w:val="single" w:sz="8" w:color="auto"/>
              <w:right w:val="single" w:sz="8" w:color="ECECEC"/>
            </w:tcBorders>
            <w:shd w:val="clear" w:color="auto" w:fill="ECECEC"/>
          </w:tcPr>
          <w:p>
            <w:pPr>
              <w:jc w:val="right"/>
              <w:spacing w:after="0"/>
              <w:rPr>
                <w:sz w:val="20"/>
                <w:szCs w:val="20"/>
                <w:color w:val="auto"/>
              </w:rPr>
            </w:pPr>
            <w:r>
              <w:rPr>
                <w:rFonts w:ascii="Times New Roman" w:cs="Times New Roman" w:eastAsia="Times New Roman" w:hAnsi="Times New Roman"/>
                <w:sz w:val="16"/>
                <w:szCs w:val="16"/>
                <w:b w:val="1"/>
                <w:bCs w:val="1"/>
                <w:color w:val="auto"/>
              </w:rPr>
              <w:t>2,342</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w:t>
            </w:r>
          </w:p>
        </w:tc>
        <w:tc>
          <w:tcPr>
            <w:tcW w:w="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(877)</w:t>
            </w:r>
          </w:p>
        </w:tc>
        <w:tc>
          <w:tcPr>
            <w:tcW w:w="7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mining profit” is defined as Gross profit excluding depreciation and amortization and other minor items included in cost of sales that do not directly relate to mining related activities. “Gross mining margin” is defined as the percentage obtained when dividing Gross mining profit by Revenues from mining related activities.</w:t>
      </w:r>
    </w:p>
    <w:p>
      <w:pPr>
        <w:spacing w:after="0" w:line="200" w:lineRule="exact"/>
        <w:rPr>
          <w:sz w:val="20"/>
          <w:szCs w:val="20"/>
          <w:color w:val="auto"/>
        </w:rPr>
      </w:pPr>
    </w:p>
    <w:p>
      <w:pPr>
        <w:spacing w:after="0" w:line="210" w:lineRule="exact"/>
        <w:rPr>
          <w:sz w:val="20"/>
          <w:szCs w:val="20"/>
          <w:color w:val="auto"/>
        </w:rPr>
      </w:pPr>
    </w:p>
    <w:p>
      <w:pPr>
        <w:ind w:left="11140"/>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lowerLetter"/>
      <w:start w:val="1"/>
    </w:lvl>
  </w:abstractNum>
  <w:abstractNum w:abstractNumId="1">
    <w:nsid w:val="721DA317"/>
    <w:multiLevelType w:val="hybridMultilevel"/>
    <w:lvl w:ilvl="0">
      <w:lvlJc w:val="left"/>
      <w:lvlText w:val="%1."/>
      <w:numFmt w:val="lowerLetter"/>
      <w:start w:val="2"/>
    </w:lvl>
  </w:abstractNum>
  <w:abstractNum w:abstractNumId="2">
    <w:nsid w:val="2443A858"/>
    <w:multiLevelType w:val="hybridMultilevel"/>
    <w:lvl w:ilvl="0">
      <w:lvlJc w:val="left"/>
      <w:lvlText w:val="%1."/>
      <w:numFmt w:val="lowerLetter"/>
      <w:start w:val="3"/>
    </w:lvl>
  </w:abstractNum>
  <w:abstractNum w:abstractNumId="3">
    <w:nsid w:val="2D1D5AE9"/>
    <w:multiLevelType w:val="hybridMultilevel"/>
    <w:lvl w:ilvl="0">
      <w:lvlJc w:val="left"/>
      <w:lvlText w:val="%1."/>
      <w:numFmt w:val="lowerLetter"/>
      <w:start w:val="3"/>
    </w:lvl>
  </w:abstractNum>
  <w:abstractNum w:abstractNumId="4">
    <w:nsid w:val="6763845E"/>
    <w:multiLevelType w:val="hybridMultilevel"/>
    <w:lvl w:ilvl="0">
      <w:lvlJc w:val="left"/>
      <w:lvlText w:val="%1."/>
      <w:numFmt w:val="lowerLetter"/>
      <w:start w:val="4"/>
    </w:lvl>
  </w:abstractNum>
  <w:abstractNum w:abstractNumId="5">
    <w:nsid w:val="75A2A8D4"/>
    <w:multiLevelType w:val="hybridMultilevel"/>
    <w:lvl w:ilvl="0">
      <w:lvlJc w:val="left"/>
      <w:lvlText w:val="%1."/>
      <w:numFmt w:val="lowerLetter"/>
      <w:start w:val="4"/>
    </w:lvl>
  </w:abstractNum>
  <w:abstractNum w:abstractNumId="6">
    <w:nsid w:val="8EDBDAB"/>
    <w:multiLevelType w:val="hybridMultilevel"/>
    <w:lvl w:ilvl="0">
      <w:lvlJc w:val="left"/>
      <w:lvlText w:val="%1."/>
      <w:numFmt w:val="lowerLetter"/>
      <w:start w:val="5"/>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1"/>
      <w:numFmt w:val="bullet"/>
      <w:start w:val="1"/>
    </w:lvl>
  </w:abstractNum>
  <w:abstractNum w:abstractNumId="24">
    <w:nsid w:val="3006C83E"/>
    <w:multiLevelType w:val="hybridMultilevel"/>
    <w:lvl w:ilvl="0">
      <w:lvlJc w:val="left"/>
      <w:lvlText w:val="2"/>
      <w:numFmt w:val="bullet"/>
      <w:start w:val="1"/>
    </w:lvl>
  </w:abstractNum>
  <w:abstractNum w:abstractNumId="25">
    <w:nsid w:val="614FD4A1"/>
    <w:multiLevelType w:val="hybridMultilevel"/>
    <w:lvl w:ilvl="0">
      <w:lvlJc w:val="left"/>
      <w:lvlText w:val="(%1)"/>
      <w:numFmt w:val="decimal"/>
      <w:start w:val="2"/>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lowerRoman"/>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lowerRoman"/>
      <w:start w:val="2"/>
    </w:lvl>
  </w:abstractNum>
  <w:abstractNum w:abstractNumId="31">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2">
    <w:nsid w:val="7724C67E"/>
    <w:multiLevelType w:val="hybridMultilevel"/>
    <w:lvl w:ilvl="0">
      <w:lvlJc w:val="left"/>
      <w:lvlText w:val="%1."/>
      <w:numFmt w:val="decimal"/>
      <w:start w:val="6"/>
    </w:lvl>
  </w:abstractNum>
  <w:abstractNum w:abstractNumId="33">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4">
    <w:nsid w:val="2463B9EA"/>
    <w:multiLevelType w:val="hybridMultilevel"/>
    <w:lvl w:ilvl="0">
      <w:lvlJc w:val="left"/>
      <w:lvlText w:val="%1."/>
      <w:numFmt w:val="decimal"/>
      <w:start w:val="6"/>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lvl w:ilvl="1">
      <w:lvlJc w:val="left"/>
      <w:lvlText w:val="o"/>
      <w:numFmt w:val="bullet"/>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9" Type="http://schemas.openxmlformats.org/officeDocument/2006/relationships/hyperlink" Target="http://www.sec.gov/Archives/edgar/data/1812477/000121390021042378/ea145070-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2022-11-14T07:24:35Z</dcterms:created>
  <dcterms:modified xsi:type="dcterms:W3CDTF">2022-11-14T07:24:35Z</dcterms:modified>
</cp:coreProperties>
</file>