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November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November 4,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w:t>
      </w:r>
      <w:hyperlink r:id="rId18">
        <w:r>
          <w:rPr>
            <w:rFonts w:ascii="Arial" w:cs="Arial" w:eastAsia="Arial" w:hAnsi="Arial"/>
            <w:sz w:val="18"/>
            <w:szCs w:val="18"/>
            <w:u w:val="single" w:color="auto"/>
            <w:color w:val="0000EE"/>
          </w:rPr>
          <w:t>333-258788</w:t>
        </w:r>
      </w:hyperlink>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560" w:type="dxa"/>
            <w:vAlign w:val="bottom"/>
          </w:tcPr>
          <w:p>
            <w:pPr>
              <w:spacing w:after="0"/>
              <w:rPr>
                <w:sz w:val="20"/>
                <w:szCs w:val="20"/>
                <w:color w:val="auto"/>
              </w:rPr>
            </w:pPr>
          </w:p>
        </w:tc>
        <w:tc>
          <w:tcPr>
            <w:tcW w:w="63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Material Change Report dated November 4, 2022</w:t>
            </w:r>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3560" w:type="dxa"/>
            <w:vAlign w:val="bottom"/>
            <w:tcBorders>
              <w:top w:val="single" w:sz="8" w:color="0000EE"/>
              <w:bottom w:val="single" w:sz="8" w:color="auto"/>
            </w:tcBorders>
          </w:tcPr>
          <w:p>
            <w:pPr>
              <w:spacing w:after="0"/>
              <w:rPr>
                <w:sz w:val="24"/>
                <w:szCs w:val="24"/>
                <w:color w:val="auto"/>
              </w:rPr>
            </w:pPr>
          </w:p>
        </w:tc>
        <w:tc>
          <w:tcPr>
            <w:tcW w:w="6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880"/>
        <w:spacing w:after="0"/>
        <w:tabs>
          <w:tab w:leader="none" w:pos="84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4, 2022.</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November 4, 2022 by a newswire company in Canada.</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109220</wp:posOffset>
            </wp:positionV>
            <wp:extent cx="203136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responds to erroneous article, advising that current hydroelectric energy agreements remain in place;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and future production continues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TORONTO, Ontario and BROSSARD, Québec, November 4, 2022 – </w:t>
      </w:r>
      <w:r>
        <w:rPr>
          <w:rFonts w:ascii="Arial" w:cs="Arial" w:eastAsia="Arial" w:hAnsi="Arial"/>
          <w:sz w:val="18"/>
          <w:szCs w:val="18"/>
          <w:b w:val="1"/>
          <w:bCs w:val="1"/>
          <w:color w:val="auto"/>
        </w:rPr>
        <w:t>Bitfarms (NASDAQ/TSX: BITF)</w:t>
      </w:r>
      <w:r>
        <w:rPr>
          <w:rFonts w:ascii="Arial" w:cs="Arial" w:eastAsia="Arial" w:hAnsi="Arial"/>
          <w:sz w:val="18"/>
          <w:szCs w:val="18"/>
          <w:color w:val="auto"/>
        </w:rPr>
        <w:t>, a publicly traded, self-mining, vertically integrated Bitcoin mining company, advised its power agreements with Hydro-Québec remain in place and expects that its current and future bitcoin production will continue for the foreseeable future without disruption.</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Bitfarms notes that erroneous information was disseminated in a November 3, 2022, article titled “Canadian Energy Provider Hydro-Québec Proposes Stopping Electricity Supply to Blockchain Industry” resulting in misinformation spreading quickly through media networks and on social media. The article mischaracterized Hydro-Québec’s recently submitted Ten Year Supply Plan in stating that the Plan advocated the termination of electricity to existing mining operations.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invested over CAD$350 million in Québec since its inception and currently employs over 100 employees. The Company continues to look to expand its operations in Québec and add more jobs across the region. As such, Bitfarms believes it is necessary to respond to the article’s false implications.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148"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accelerated uptime.</w:t>
      </w:r>
    </w:p>
    <w:p>
      <w:pPr>
        <w:spacing w:after="0" w:line="116"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Bitfarms has 10 mining facilities in operations and development production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Bitfarms on the web: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444444"/>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444"/>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03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status of power agreements with Hydro-Québec, the availability of electrical power in the Province of Québec to operate and expand operations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603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2603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both"/>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2603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6035" cy="128905"/>
                    </a:xfrm>
                    <a:prstGeom prst="rect">
                      <a:avLst/>
                    </a:prstGeom>
                    <a:noFill/>
                  </pic:spPr>
                </pic:pic>
              </a:graphicData>
            </a:graphic>
          </wp:anchor>
        </w:drawing>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2603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12121"/>
        </w:rPr>
        <w:t>Louis-Martin Leclerc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212121"/>
        </w:rPr>
        <w:t>418.693.2425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8"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2022-11-04T15:12:56Z</dcterms:created>
  <dcterms:modified xsi:type="dcterms:W3CDTF">2022-11-04T15:12:56Z</dcterms:modified>
</cp:coreProperties>
</file>