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For the month of March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1, 2024, the Registrant filed with the Canadian Securities Regulatory Authorities on the System for Electronic Data Analysis and Retrieval (SEDAR) a material change report that includes a copy of a press release, a copy of which is attached hereto as Exhibit 99.1.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Material Change Report dated March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ind w:left="7220"/>
        <w:spacing w:after="0"/>
        <w:tabs>
          <w:tab w:leader="none" w:pos="780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2024.</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3</w:t>
        <w:tab/>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March 1, 2024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Geoffrey Morphy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gmorphy@bitfarms.com</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Bitfarms Earns 300 BTC in February 2024; Provides Update</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on Fleet Upgrade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Bitmain T21 miners installed and testing above specifications -</w:t>
      </w:r>
    </w:p>
    <w:p>
      <w:pPr>
        <w:spacing w:after="0" w:line="7" w:lineRule="exact"/>
        <w:rPr>
          <w:sz w:val="20"/>
          <w:szCs w:val="20"/>
          <w:color w:val="auto"/>
        </w:rPr>
      </w:pPr>
    </w:p>
    <w:p>
      <w:pPr>
        <w:jc w:val="center"/>
        <w:ind w:left="4560" w:right="3020" w:hanging="1528"/>
        <w:spacing w:after="0" w:line="260" w:lineRule="auto"/>
        <w:tabs>
          <w:tab w:leader="none" w:pos="3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towards targets of 12 EH/s and 25 w/TH by end of Q2 2024 and 21 EH/s by end of 2024 -</w:t>
      </w:r>
    </w:p>
    <w:p>
      <w:pPr>
        <w:spacing w:after="0" w:line="1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(March 1, 2024) </w:t>
      </w:r>
      <w:r>
        <w:rPr>
          <w:rFonts w:ascii="Times New Roman" w:cs="Times New Roman" w:eastAsia="Times New Roman" w:hAnsi="Times New Roman"/>
          <w:sz w:val="18"/>
          <w:szCs w:val="18"/>
          <w:color w:val="auto"/>
        </w:rPr>
        <w:t>- Bitfarms Ltd. (NASDAQ: TSX: BITF), a global vertically integrated Bitcoin mining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provides a February monthly production report as well as an update on its fleet upgrade.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Fleet Upgrade Review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Geoff Morphy, President and Chief Executive Officer of Bitfarms, said, “As a critical component to our growth, we are executing well against our transformational fleet upgrade and our target of 21 EH/s by year-end 2024. We expect the upcoming deliveries of more high efficiency Bitman T21 miners to begin operating at our Québec farms in March. Based on the installation schedule, we anticipate an immediate 8% increase in hashrate to 7 EH/s and 11% improvement in energy efficiency to 31 w/TH.”</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personally inspected the development in Paso Pe, Paraguay, about two weeks ago. Our incredible team continues to deliver, and I am thrilled at the progress being made. The installation of eight hydro containers and 1,920 hydro miners is well underway. Four air-cooled warehouses are nearly built and almost ready to receive the initial shipment of T21 miners. We anticipate the first miners to be energized in mid-March. Upon completion, we expect Paso Pe to contribute approximately 3.2 EH/s with an expected efficiency of 24 w/TH to meet our guidance of 12 EH/s by the end of Q2 2024,” Morphy added.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Yguazu, Paraguay, we signed the engineering, procurement, and construction contract for the ANDE substation that is required to energize our new 100 MW hydro-powered project. This is expected to contribute roughly 3 EH/s at 22 w/TH efficiency, which contributes to our target hashrate of 17 EH/s in H2 of 2024 achieved through the miner purchases already announced. Combined with stated expansion, the option of miner redeployments and a few key opportunistic acquisitions, we are aiming for 21 EH/s by year-end 2024,” Morphy explained.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Ben Gagnon, Chief Mining Officer of Bitfarms, said, “In mid-February, we received 12 Bitmain T21 miners that we installed in Québec for testing. During the initial two weeks, the miners proved highly efficient and, in fact, are outperforming the manufacturer’s specs in both normal and high-energy modes at this time. With that initial performance data, we are even more excited about deploying our strategic fleet upgrade program to achieve our hashrate goals.”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Mining Review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February mining operations generated 300 BTC compared to 357 BTC in January, reflecting participation in grid-stabilizing curtailment programs, fewer production days in February and 16.2% increased difficulty during the month. In the last few hours of February, there was a difficulty decrease of 2.9% to start the month of March.</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19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February 2024</w:t>
            </w:r>
          </w:p>
        </w:tc>
        <w:tc>
          <w:tcPr>
            <w:tcW w:w="19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January 2024</w:t>
            </w:r>
          </w:p>
        </w:tc>
        <w:tc>
          <w:tcPr>
            <w:tcW w:w="1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February 2023</w:t>
            </w:r>
          </w:p>
        </w:tc>
      </w:tr>
      <w:tr>
        <w:trPr>
          <w:trHeight w:val="209"/>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300</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357</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387</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 End Operating EH/s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6.5</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6.5</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BTC/Avg. EH/s</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91</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Operating EH/s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6.1</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5.9</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Capacity (MW)</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240</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240</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Hydropower MW</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186</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186</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Watts/Terahash Efficiency (w/TH)</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BTC Sold</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300</w:t>
            </w:r>
          </w:p>
        </w:tc>
        <w:tc>
          <w:tcPr>
            <w:tcW w:w="2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357</w:t>
            </w:r>
          </w:p>
        </w:tc>
        <w:tc>
          <w:tcPr>
            <w:tcW w:w="2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February 2024 Select Operating Highlights</w:t>
      </w:r>
    </w:p>
    <w:p>
      <w:pPr>
        <w:spacing w:after="0" w:line="229"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EH/s online as of February 29, 2024, up 38% from February 28, 2023, and unchanged from January 31, 2024.</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EH/s average online, up 3.4% from January 2024.</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49.2 BTC/average EH/s, down 18.8% from 60.6 in January 2024.</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BTC earned, 16% lower than January 2024 and 22% lower than February 2023.</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 BTC earned daily on average, equal to approximately $648,900 per day based on a BTC price of $63,000 at February 29, 2024.</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Quebec, installed 12 Bitmain T21 miners, which in 2 weeks of testing are performing above manufacturer’s specifications.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Paraguay,</w:t>
      </w:r>
    </w:p>
    <w:p>
      <w:pPr>
        <w:spacing w:after="0" w:line="225"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MW main transformer is en route to the new Paso Pe farm.</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engineering procurement and construction contract for the high-voltage interconnection to the ANDE substation and to the transmission line to energize the new 100 MW hydro-powered project at Yguazu.</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Bitfarms’ BTC Monthly Production</w:t>
            </w:r>
          </w:p>
        </w:tc>
        <w:tc>
          <w:tcPr>
            <w:tcW w:w="4900" w:type="dxa"/>
            <w:vAlign w:val="bottom"/>
            <w:gridSpan w:val="2"/>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479"/>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BTC Earned 2024</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BTC Earned 2023</w:t>
            </w:r>
          </w:p>
        </w:tc>
      </w:tr>
      <w:tr>
        <w:trPr>
          <w:trHeight w:val="209"/>
        </w:trPr>
        <w:tc>
          <w:tcPr>
            <w:tcW w:w="74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357</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486</w:t>
            </w:r>
          </w:p>
        </w:tc>
      </w:tr>
      <w:tr>
        <w:trPr>
          <w:trHeight w:val="216"/>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387</w:t>
            </w:r>
          </w:p>
        </w:tc>
      </w:tr>
      <w:tr>
        <w:trPr>
          <w:trHeight w:val="216"/>
        </w:trPr>
        <w:tc>
          <w:tcPr>
            <w:tcW w:w="7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YTD Totals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657</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873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February 2024 Financial Update</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300 BTC of the 300 BTC earned, generating total proceeds of $15.1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Maintained BTC held in treasury at 804, representing approximately $50.7 million based on a BTC price of $63,000 at February 29,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Synthetic HODL™ of 135 long-dated BTC call options at February 29,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off $2.0 million of indebtedness, eliminating our remaining debt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23430" cy="1920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3430" cy="192024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Bitfarms currently has 11 operating Bitcoin mining facilities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23430" cy="8229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3430" cy="8229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19685</wp:posOffset>
            </wp:positionV>
            <wp:extent cx="672084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20840" cy="137160"/>
                    </a:xfrm>
                    <a:prstGeom prst="rect">
                      <a:avLst/>
                    </a:prstGeom>
                    <a:noFill/>
                  </pic:spPr>
                </pic:pic>
              </a:graphicData>
            </a:graphic>
          </wp:anchor>
        </w:drawing>
      </w:r>
    </w:p>
    <w:p>
      <w:pPr>
        <w:spacing w:after="0" w:line="20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BTC/day = Bitcoin or Bitcoin per day</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 or PH/s = Petahash or petahash per second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 or TH/s = Terahash or terahash per second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w/TH = Watts/Terahash efficiency (includes cost of powering supplementary equipment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Synthetic HODL™ = the use of instruments that create bitcoin equivalent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-953770</wp:posOffset>
            </wp:positionV>
            <wp:extent cx="7132320" cy="1097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t>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7123430" cy="2331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3430" cy="2331720"/>
                    </a:xfrm>
                    <a:prstGeom prst="rect">
                      <a:avLst/>
                    </a:prstGeom>
                    <a:noFill/>
                  </pic:spPr>
                </pic:pic>
              </a:graphicData>
            </a:graphic>
          </wp:anchor>
        </w:drawing>
      </w:r>
    </w:p>
    <w:p>
      <w:pPr>
        <w:spacing w:after="0" w:line="207" w:lineRule="exact"/>
        <w:rPr>
          <w:sz w:val="20"/>
          <w:szCs w:val="20"/>
          <w:color w:val="auto"/>
        </w:rPr>
      </w:pPr>
    </w:p>
    <w:p>
      <w:pPr>
        <w:jc w:val="both"/>
        <w:ind w:left="20" w:hanging="8"/>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ind w:left="20" w:hanging="8"/>
        <w:spacing w:after="0" w:line="254" w:lineRule="auto"/>
        <w:rPr>
          <w:sz w:val="20"/>
          <w:szCs w:val="20"/>
          <w:color w:val="auto"/>
        </w:rPr>
      </w:pPr>
      <w:r>
        <w:rPr>
          <w:rFonts w:ascii="Times New Roman" w:cs="Times New Roman" w:eastAsia="Times New Roman" w:hAnsi="Times New Roman"/>
          <w:sz w:val="18"/>
          <w:szCs w:val="18"/>
          <w:i w:val="1"/>
          <w:iCs w:val="1"/>
          <w:color w:val="auto"/>
          <w:highlight w:val="white"/>
        </w:rPr>
        <w:t xml:space="preserve">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w:t>
      </w:r>
      <w:r>
        <w:rPr>
          <w:rFonts w:ascii="Times New Roman" w:cs="Times New Roman" w:eastAsia="Times New Roman" w:hAnsi="Times New Roman"/>
          <w:sz w:val="18"/>
          <w:szCs w:val="18"/>
          <w:i w:val="1"/>
          <w:iCs w:val="1"/>
          <w:color w:val="auto"/>
        </w:rPr>
        <w:t xml:space="preserve">securities laws. The statements and information in this release regarding projected growth, target hashrate, opportunities relating to the Company’s geographical diversification and expansion, upgrading and deployment of miners as well as the timing therefor, improved financial performance and </w:t>
      </w:r>
      <w:r>
        <w:rPr>
          <w:rFonts w:ascii="Times New Roman" w:cs="Times New Roman" w:eastAsia="Times New Roman" w:hAnsi="Times New Roman"/>
          <w:sz w:val="18"/>
          <w:szCs w:val="18"/>
          <w:i w:val="1"/>
          <w:iCs w:val="1"/>
          <w:color w:val="auto"/>
          <w:highlight w:val="white"/>
        </w:rPr>
        <w:t xml:space="preserve">balance sheet liquidity, other growth opportunities and prospects, and other statements regarding future growth, plans and objectives of the Company are </w:t>
      </w:r>
      <w:r>
        <w:rPr>
          <w:rFonts w:ascii="Times New Roman" w:cs="Times New Roman" w:eastAsia="Times New Roman" w:hAnsi="Times New Roman"/>
          <w:sz w:val="18"/>
          <w:szCs w:val="18"/>
          <w:i w:val="1"/>
          <w:iCs w:val="1"/>
          <w:color w:val="auto"/>
        </w:rPr>
        <w:t xml:space="preserve">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w:t>
      </w:r>
      <w:r>
        <w:rPr>
          <w:rFonts w:ascii="Times New Roman" w:cs="Times New Roman" w:eastAsia="Times New Roman" w:hAnsi="Times New Roman"/>
          <w:sz w:val="18"/>
          <w:szCs w:val="18"/>
          <w:i w:val="1"/>
          <w:iCs w:val="1"/>
          <w:color w:val="auto"/>
          <w:highlight w:val="white"/>
        </w:rPr>
        <w:t xml:space="preserve">“does not anticipate”, “plans”, “budget”, “scheduled”, “forecasts”, “estimates”, “prospects”, “believes” or “intends” or variations of such words and </w:t>
      </w:r>
      <w:r>
        <w:rPr>
          <w:rFonts w:ascii="Times New Roman" w:cs="Times New Roman" w:eastAsia="Times New Roman" w:hAnsi="Times New Roman"/>
          <w:sz w:val="18"/>
          <w:szCs w:val="18"/>
          <w:i w:val="1"/>
          <w:iCs w:val="1"/>
          <w:color w:val="auto"/>
        </w:rPr>
        <w:t xml:space="preserve">phrases or stating that certain actions, events or results “may” or “could”, “would”, “might” or “will” be taken to occur or be achieved) are not </w:t>
      </w:r>
      <w:r>
        <w:rPr>
          <w:rFonts w:ascii="Times New Roman" w:cs="Times New Roman" w:eastAsia="Times New Roman" w:hAnsi="Times New Roman"/>
          <w:sz w:val="18"/>
          <w:szCs w:val="18"/>
          <w:i w:val="1"/>
          <w:iCs w:val="1"/>
          <w:color w:val="auto"/>
          <w:highlight w:val="white"/>
        </w:rPr>
        <w:t>statements of historical fact and may be forward-looking information and are intended to identify forward-looking information.</w:t>
      </w:r>
    </w:p>
    <w:p>
      <w:pPr>
        <w:spacing w:after="0" w:line="185" w:lineRule="exact"/>
        <w:rPr>
          <w:sz w:val="20"/>
          <w:szCs w:val="20"/>
          <w:color w:val="auto"/>
        </w:rPr>
      </w:pPr>
    </w:p>
    <w:p>
      <w:pPr>
        <w:jc w:val="both"/>
        <w:ind w:left="20" w:hanging="8"/>
        <w:spacing w:after="0" w:line="255" w:lineRule="auto"/>
        <w:rPr>
          <w:sz w:val="20"/>
          <w:szCs w:val="20"/>
          <w:color w:val="auto"/>
        </w:rPr>
      </w:pPr>
      <w:r>
        <w:rPr>
          <w:rFonts w:ascii="Times New Roman" w:cs="Times New Roman" w:eastAsia="Times New Roman" w:hAnsi="Times New Roman"/>
          <w:sz w:val="18"/>
          <w:szCs w:val="18"/>
          <w:i w:val="1"/>
          <w:iCs w:val="1"/>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construction and operation of new facilities may not occur as currently planned, or at all; expansion of existing facilities may not materialize as currently anticipated, or at all; the digital currency market is …..; new miners may not perform up to expectations; revenue may not</w:t>
      </w:r>
    </w:p>
    <w:p>
      <w:pPr>
        <w:spacing w:after="0" w:line="1"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18"/>
          <w:szCs w:val="18"/>
          <w:i w:val="1"/>
          <w:iCs w:val="1"/>
          <w:color w:val="auto"/>
          <w:highlight w:val="white"/>
        </w:rPr>
        <w:t>increase as currently anticipated, or at all; it may not be possible to profitably liquidate the current digital currency inventory, or at all; digital currency prices are volatile and a decline in digital currency prices may have a significant negative impact on operations; an increase in network difficulty may have a significant negative impact on operations; the anticipated growth and sustainability of hydroelectricity for the purposes of cryptocurrency mining in the applicable jurisdictions may not be achieved; the Company may not be able to maintain reliable and economical sources of power for the Company to operate its cryptocurrency mining assets; \here may be increases in the Company’s electricity costs and costs of natural gas, the Company may be impacted by changes in currency exchange rates, energy curtailment or regulatory changes in the energy regimes in the jurisdictions in which the Company operates, which could adversely impact the Company’s profitability; the Company ability to expand will depend upon the completion of future financings,; and the adoption of new, or changes in existing, regulations or laws could prevent the Company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Company’s annual information form for the year-ended December 31, 2022, filed on March 21, 2023.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603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 (Bitfarms)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tkrumme@bitfarms.com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Barnard (LHA)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Agency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Khushboo Chaudhary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+1 646-373-9946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mediarelations@bitfarms.com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Québec Media: 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lmleclerc@tactconseil.ca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2024-03-01T15:10:59Z</dcterms:created>
  <dcterms:modified xsi:type="dcterms:W3CDTF">2024-03-01T15:10:59Z</dcterms:modified>
</cp:coreProperties>
</file>