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BITFARMS LTD.</w:t>
      </w:r>
    </w:p>
    <w:p>
      <w:pPr>
        <w:spacing w:after="0" w:line="2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110 Yonge Street, Suite 1601, Toronto, Ontario, Canada M5C 1T4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40"/>
        <w:spacing w:after="0" w:line="207" w:lineRule="exact"/>
        <w:tabs>
          <w:tab w:leader="none" w:pos="58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7"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9"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June 3, 2024, the Registrant filed with the Canadian Securities Regulatory Authorities on the System for Electronic Data Analysis and Retrieval + (SEDAR +) a material change report that includes a copy of a press release, a copy of which is attached hereto as Exhibit 99.1, and which is incorporated by reference to the Company’s Registration Statement on </w:t>
      </w:r>
      <w:hyperlink r:id="rId19">
        <w:r>
          <w:rPr>
            <w:rFonts w:ascii="Times New Roman" w:cs="Times New Roman" w:eastAsia="Times New Roman" w:hAnsi="Times New Roman"/>
            <w:sz w:val="18"/>
            <w:szCs w:val="18"/>
            <w:u w:val="single" w:color="auto"/>
            <w:color w:val="0000EE"/>
          </w:rPr>
          <w:t>Form F-10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333-272989).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Exhibits listed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Material Change Report dated June 3,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Nicolas Bonta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21"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Nicolas Bonta</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 and Interim CEO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51-102F3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CHANGE REPORT</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Name and Address of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 (“Bitfarms” or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 Yonge Street, Suite 1601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Ontario M5C 1T4</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Date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2024.</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3</w:t>
        <w:tab/>
        <w:t>News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attached as Schedule “A” was released on June 3, 2024, by a newswire company in Canada.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Summary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Full Description of Material Change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material change is described in the press release attached as Schedule “A”.</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Reliance of subsection 7.1(2) of National Instrument 51-102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Omitted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Nicolas Bonta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Bitfarms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nbonta@bitfarms.com</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Date of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154305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Bitfarms Provides May 2024 Production</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and Operations Update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Earned 156 BTC in May 2024 -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Secured additional hydropower in Paraguay with potential to add 6 EH/s in 2025 -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Increased installed hashrate to 9.5 EH/s with 7.5 EH/s operational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Improved corporate energy efficiency to 27 w/TH, up 31% Y/Y &amp; 13% M/M -</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 On track to deliver 21 EH/s and 21 w/TH in 2024 -</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This news release constitutes a “designated news release” for the purposes of the Company’s prospectus supplement dated March 8, 2024, to its short form base shelf prospectus dated November 10, 2023.</w:t>
      </w:r>
    </w:p>
    <w:p>
      <w:pPr>
        <w:spacing w:after="0" w:line="156" w:lineRule="exact"/>
        <w:rPr>
          <w:sz w:val="20"/>
          <w:szCs w:val="20"/>
          <w:color w:val="auto"/>
        </w:rPr>
      </w:pPr>
    </w:p>
    <w:p>
      <w:pPr>
        <w:jc w:val="both"/>
        <w:ind w:hanging="1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Toronto, Ontario and Brossard, Québec (June 3, 2024) </w:t>
      </w:r>
      <w:r>
        <w:rPr>
          <w:rFonts w:ascii="Times New Roman" w:cs="Times New Roman" w:eastAsia="Times New Roman" w:hAnsi="Times New Roman"/>
          <w:sz w:val="18"/>
          <w:szCs w:val="18"/>
          <w:color w:val="auto"/>
        </w:rPr>
        <w:t>- Bitfarms Ltd. (NASDAQ/ TSX: BITF), a global vertically integrated Bitcoin mining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provides its monthly production report and update on its fleet upgrade and expansion.</w:t>
      </w:r>
    </w:p>
    <w:p>
      <w:pPr>
        <w:spacing w:after="0" w:line="159" w:lineRule="exact"/>
        <w:rPr>
          <w:sz w:val="20"/>
          <w:szCs w:val="20"/>
          <w:color w:val="auto"/>
        </w:rPr>
      </w:pPr>
    </w:p>
    <w:p>
      <w:pPr>
        <w:jc w:val="both"/>
        <w:ind w:hanging="8"/>
        <w:spacing w:after="0" w:line="258" w:lineRule="auto"/>
        <w:rPr>
          <w:sz w:val="20"/>
          <w:szCs w:val="20"/>
          <w:color w:val="auto"/>
        </w:rPr>
      </w:pPr>
      <w:r>
        <w:rPr>
          <w:rFonts w:ascii="Times New Roman" w:cs="Times New Roman" w:eastAsia="Times New Roman" w:hAnsi="Times New Roman"/>
          <w:sz w:val="18"/>
          <w:szCs w:val="18"/>
          <w:color w:val="auto"/>
        </w:rPr>
        <w:t>In May, Bitfarms secured an additional 100 MW at its Yguazu site through an amendment to the existing 100 MW Power Purchase Agreement (PPA) with the Paraguay state-owned utility, ANDE. This amendment doubles capacity at this site to 200 MW with scheduled deployment for the additional 100 MW in 2025. This sustainable hydropower will be provided at the same contractual low cost of approximately 3.9 cents per kWh, before VAT, with the added benefit of not being subject to annual inflationary adjustments. This expansion has the potential to add an additional 6 EHs in 2025 if filled with S21 Pro miners.</w:t>
      </w:r>
    </w:p>
    <w:p>
      <w:pPr>
        <w:spacing w:after="0" w:line="183" w:lineRule="exact"/>
        <w:rPr>
          <w:sz w:val="20"/>
          <w:szCs w:val="20"/>
          <w:color w:val="auto"/>
        </w:rPr>
      </w:pPr>
    </w:p>
    <w:p>
      <w:pPr>
        <w:jc w:val="both"/>
        <w:ind w:hanging="8"/>
        <w:spacing w:after="0" w:line="261" w:lineRule="auto"/>
        <w:rPr>
          <w:sz w:val="20"/>
          <w:szCs w:val="20"/>
          <w:color w:val="auto"/>
        </w:rPr>
      </w:pPr>
      <w:r>
        <w:rPr>
          <w:rFonts w:ascii="Times New Roman" w:cs="Times New Roman" w:eastAsia="Times New Roman" w:hAnsi="Times New Roman"/>
          <w:sz w:val="18"/>
          <w:szCs w:val="18"/>
          <w:color w:val="auto"/>
        </w:rPr>
        <w:t>Damian Polla, General Manager of LATAM, stated, “Building upon our construction progress at our existing sites and track record in the country, this addition allows us to take further advantage of the cost efficiencies and rapid construction timelines we have in Paraguay. Importantly, these megawatts were secured directly though ANDE with no direct acquisition costs. With 270 MW of infrastructure expansion from our new Paso Pe and Yguazu farms, Paraguay is the fastest growing region in our portfolio.”</w:t>
      </w:r>
    </w:p>
    <w:p>
      <w:pPr>
        <w:spacing w:after="0" w:line="180"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Jeff Lucas, Chief Financial Officer, stated, “In addition, we received $17 million of the $24 million VAT refund from Quebec, with the remaining $6 million expected in the next few weeks. This VAT refundability reduces our Canadian power costs by 15% and provides substantial funds to support our ongoing growth with sufficient liquidity to pay for all the miners needed to reach 21 EH/s this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Fleet Upgrade Review</w:t>
      </w:r>
    </w:p>
    <w:p>
      <w:pPr>
        <w:spacing w:after="0" w:line="229" w:lineRule="exact"/>
        <w:rPr>
          <w:sz w:val="20"/>
          <w:szCs w:val="20"/>
          <w:color w:val="auto"/>
        </w:rPr>
      </w:pPr>
    </w:p>
    <w:p>
      <w:pPr>
        <w:jc w:val="both"/>
        <w:ind w:hanging="8"/>
        <w:spacing w:after="0" w:line="255" w:lineRule="auto"/>
        <w:rPr>
          <w:sz w:val="20"/>
          <w:szCs w:val="20"/>
          <w:color w:val="auto"/>
        </w:rPr>
      </w:pPr>
      <w:r>
        <w:rPr>
          <w:rFonts w:ascii="Times New Roman" w:cs="Times New Roman" w:eastAsia="Times New Roman" w:hAnsi="Times New Roman"/>
          <w:sz w:val="18"/>
          <w:szCs w:val="18"/>
          <w:color w:val="auto"/>
        </w:rPr>
        <w:t>“Our fleet upgrade is progressing at a rapid pace. Year-to-date we have received 25,600 miners and installed 23,600 miners, with the remaining 16,200 miners in route. Together, these miners provide sufficient hashing power to achieve 12 EH/s in June,” said Ben Gagnon, Chief Mining Officer. “In May, we completed two farm upgrades at Cowansville and Bunker and filled three of five buildings in Paso Pe with new miners. This increased our installed hashrate to 9.5 EH/s, with approximately 7.5 EH/s currently operating, and improved our corporate energy efficiency by 31% year-over-year and 13% from last month, to 27 w/TH. Nearly 2 of 3 EH/s are installed at our Paso Pe site but not yet energized pending final testing by ANDE and substation engineering work which is scheduled to be completed in June. Upgrades at Leger are underway and are scheduled to be completed in June along with farm upgrades at St Hyacinthe and Baie Comeau.”</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Mining Review</w:t>
      </w:r>
    </w:p>
    <w:p>
      <w:pPr>
        <w:spacing w:after="0" w:line="229" w:lineRule="exact"/>
        <w:rPr>
          <w:sz w:val="20"/>
          <w:szCs w:val="20"/>
          <w:color w:val="auto"/>
        </w:rPr>
      </w:pPr>
    </w:p>
    <w:p>
      <w:pPr>
        <w:jc w:val="both"/>
        <w:ind w:hanging="8"/>
        <w:spacing w:after="0" w:line="292" w:lineRule="auto"/>
        <w:rPr>
          <w:sz w:val="20"/>
          <w:szCs w:val="20"/>
          <w:color w:val="auto"/>
        </w:rPr>
      </w:pPr>
      <w:r>
        <w:rPr>
          <w:rFonts w:ascii="Times New Roman" w:cs="Times New Roman" w:eastAsia="Times New Roman" w:hAnsi="Times New Roman"/>
          <w:sz w:val="18"/>
          <w:szCs w:val="18"/>
          <w:color w:val="auto"/>
        </w:rPr>
        <w:t>During May, in response to unusually cold temperatures in Argentina, Bitfarms curtailed operations for 8 days in Rio Cuarto amidst a temporary demand spike for natural gas during the harshest winter in 44 years. Mining operations at Rio Cuarto resumed on May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ANDE began their final Power up Protocol testing in Paso Pe, and we expect to have the full 70 MW energized in June.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May mining operations generated 156 BTC compared to 269 BTC in April, reflecting the first full month of reduced block rewards, the result of the April Halving event. Additionally, curtailment in Argentina and downtime, associated with upgrading miners, reduced total production which was partially offset by a 4.2% decrease in network difficulty compared to April.</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May 2024</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April 2024</w:t>
            </w:r>
          </w:p>
        </w:tc>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May 2023</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BTC earned</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Month End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BTC/Avg. EH/s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Operating EH/s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Capacity (MW)</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Hydropower (MW)</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Watts/Terahash Efficiency (w/TH)</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BTC Sold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May 2024 Select Operating Highlights</w:t>
      </w:r>
    </w:p>
    <w:p>
      <w:pPr>
        <w:spacing w:after="0" w:line="229"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EH/s online at June 1, 2024, up 50% year-over-year (Y/Y) and 7% from April 30, 2024.</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EH/s average online, up 5% from the previous month.</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 BTC/average EH/s, down 45% from the previous month as May was the first full month with post-halving economics.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 BTC earned, 42% lower than the previous month and 66% lower Y/Y.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BTC earned daily on average, equal to ~$340,000 per day based on a BTC price of $67,300 at May 31,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Québec,</w:t>
      </w:r>
    </w:p>
    <w:p>
      <w:pPr>
        <w:spacing w:after="0" w:line="9"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Bunker, completed installation of 5,564 Bitmain T21s miners for a total of 7,764.</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Cowansville, completed installation of 3,240 BitmainT21s miners.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Leger, installed 936 Bitmain T21s miners.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Paraguay,</w:t>
      </w:r>
    </w:p>
    <w:p>
      <w:pPr>
        <w:spacing w:after="0" w:line="27" w:lineRule="exact"/>
        <w:rPr>
          <w:sz w:val="20"/>
          <w:szCs w:val="20"/>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Paso Pe:</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6,750 Bitmain T21s miners.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Installed 817 M53S+ Hydro Miners.</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Yguazu, secured an additional 100 MW of sustainable hydropower.</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Rio Cuarto, Argentina, curtailed operations for 8 days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Washington state, installed 300 Bitmain T21s miners.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Bitfarms’ BTC Monthly Production</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2760" w:type="dxa"/>
            <w:vAlign w:val="bottom"/>
            <w:tcBorders>
              <w:top w:val="single" w:sz="8" w:color="auto"/>
            </w:tcBorders>
          </w:tcPr>
          <w:p>
            <w:pPr>
              <w:spacing w:after="0"/>
              <w:rPr>
                <w:sz w:val="24"/>
                <w:szCs w:val="24"/>
                <w:color w:val="auto"/>
              </w:rPr>
            </w:pPr>
          </w:p>
        </w:tc>
        <w:tc>
          <w:tcPr>
            <w:tcW w:w="5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12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BTC Earned</w:t>
            </w:r>
          </w:p>
        </w:tc>
        <w:tc>
          <w:tcPr>
            <w:tcW w:w="0" w:type="dxa"/>
            <w:vAlign w:val="bottom"/>
          </w:tcPr>
          <w:p>
            <w:pPr>
              <w:spacing w:after="0"/>
              <w:rPr>
                <w:sz w:val="1"/>
                <w:szCs w:val="1"/>
                <w:color w:val="auto"/>
              </w:rPr>
            </w:pP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Month</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February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29"/>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YTD Totals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3"/>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1,368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2,135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May 2024 Financial Update</w:t>
      </w:r>
    </w:p>
    <w:p>
      <w:pPr>
        <w:spacing w:after="0" w:line="229"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136 of the 156 BTC earned as part of the Company’s regular treasury management process for total proceeds of $8.9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BTC held in treasury increased to 850 BTC, representing $57.2 million based on a BTC price of $67,300 at May 31, 2024.</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Synthetic HODL™ by 38 long-dated BTC call options to 208 long-dated BTC call options at May 31, 2024.</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Upcoming Conferences and Events</w:t>
      </w:r>
    </w:p>
    <w:p>
      <w:pPr>
        <w:spacing w:after="0" w:line="9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June 25: Northland Growth Conference, Virtual</w:t>
      </w:r>
    </w:p>
    <w:p>
      <w:pPr>
        <w:spacing w:after="0" w:line="1"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25-26: Mining Disrupt Conference, Miami, FL</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July 25-27: Bitcoin Conference, Nashville, TN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Bitfarms Ltd</w:t>
      </w:r>
    </w:p>
    <w:p>
      <w:pPr>
        <w:spacing w:after="0" w:line="229" w:lineRule="exact"/>
        <w:rPr>
          <w:sz w:val="20"/>
          <w:szCs w:val="20"/>
          <w:color w:val="auto"/>
        </w:rPr>
      </w:pPr>
    </w:p>
    <w:p>
      <w:pPr>
        <w:jc w:val="both"/>
        <w:ind w:left="20" w:hanging="9"/>
        <w:spacing w:after="0" w:line="261" w:lineRule="auto"/>
        <w:rPr>
          <w:sz w:val="20"/>
          <w:szCs w:val="20"/>
          <w:color w:val="auto"/>
        </w:rPr>
      </w:pPr>
      <w:r>
        <w:rPr>
          <w:rFonts w:ascii="Times New Roman" w:cs="Times New Roman" w:eastAsia="Times New Roman" w:hAnsi="Times New Roman"/>
          <w:sz w:val="18"/>
          <w:szCs w:val="18"/>
          <w:color w:val="auto"/>
        </w:rPr>
        <w:t>Founded in 2017, Bitfarms is a global Bitcoin mining company that contributes its computational power to one or more mining pools from which it receives payment in Bitcoin. Bitfarms develops, owns, and operates vertically integrated mining farms with in-house management and company-owned electrical engineering, installation service, and multiple onsite technical repair centers. The Company’s proprietary data analytics system delivers best-in-class operational performance and uptime.</w:t>
      </w:r>
    </w:p>
    <w:p>
      <w:pPr>
        <w:spacing w:after="0" w:line="180" w:lineRule="exact"/>
        <w:rPr>
          <w:sz w:val="20"/>
          <w:szCs w:val="20"/>
          <w:color w:val="auto"/>
        </w:rPr>
      </w:pPr>
    </w:p>
    <w:p>
      <w:pPr>
        <w:jc w:val="both"/>
        <w:ind w:left="20" w:hanging="9"/>
        <w:spacing w:after="0" w:line="266" w:lineRule="auto"/>
        <w:rPr>
          <w:sz w:val="20"/>
          <w:szCs w:val="20"/>
          <w:color w:val="auto"/>
        </w:rPr>
      </w:pPr>
      <w:r>
        <w:rPr>
          <w:rFonts w:ascii="Times New Roman" w:cs="Times New Roman" w:eastAsia="Times New Roman" w:hAnsi="Times New Roman"/>
          <w:sz w:val="18"/>
          <w:szCs w:val="18"/>
          <w:color w:val="auto"/>
        </w:rPr>
        <w:t>Bitfarms currently has 12 operating Bitcoin mining facilities and one under development situated in four countries: Canada, the United States, Paraguay, and Argentina. Powered predominantly by environmentally friendly hydro-electric and long-term power contracts, Bitfarms is committed to using sustainable and often underutilized energy infrastructure.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www.bitfarms.com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https://www.facebook.com/bitfarms/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https://www.linkedin.com/company/bitfarms/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Glossary of Terms</w:t>
      </w:r>
    </w:p>
    <w:p>
      <w:pPr>
        <w:spacing w:after="0" w:line="22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BTC or BTC/day = Bitcoin or Bitcoin per day</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EH or EH/s = Exahash or exahash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 or MWh = Megawatts or megawatt hour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 or PH/s = Petahash or petahash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 or TH/s = Terahash or terahash per second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w/TH = Watts/Terahash efficiency (includes cost of powering supplementary equipment)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Synthetic HODL™ = the use of instruments that create BTC equivalent exposure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w:t>
      </w:r>
    </w:p>
    <w:p>
      <w:pPr>
        <w:spacing w:after="0" w:line="227" w:lineRule="exact"/>
        <w:rPr>
          <w:sz w:val="20"/>
          <w:szCs w:val="20"/>
          <w:color w:val="auto"/>
        </w:rPr>
      </w:pPr>
    </w:p>
    <w:p>
      <w:pPr>
        <w:jc w:val="both"/>
        <w:ind w:left="20" w:hanging="8"/>
        <w:spacing w:after="0" w:line="267" w:lineRule="auto"/>
        <w:rPr>
          <w:sz w:val="20"/>
          <w:szCs w:val="20"/>
          <w:color w:val="auto"/>
        </w:rPr>
      </w:pPr>
      <w:r>
        <w:rPr>
          <w:rFonts w:ascii="Times New Roman" w:cs="Times New Roman" w:eastAsia="Times New Roman" w:hAnsi="Times New Roman"/>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Toronto Stock Exchange, Nasdaq, or any other securities exchange or regulatory authority accepts responsibility for the adequacy or accuracy of this release.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jc w:val="both"/>
        <w:ind w:left="20" w:hanging="8"/>
        <w:spacing w:after="0" w:line="254" w:lineRule="auto"/>
        <w:rPr>
          <w:sz w:val="20"/>
          <w:szCs w:val="20"/>
          <w:color w:val="auto"/>
        </w:rPr>
      </w:pPr>
      <w:r>
        <w:rPr>
          <w:rFonts w:ascii="Times New Roman" w:cs="Times New Roman" w:eastAsia="Times New Roman" w:hAnsi="Times New Roman"/>
          <w:sz w:val="18"/>
          <w:szCs w:val="18"/>
          <w:i w:val="1"/>
          <w:iCs w:val="1"/>
          <w:color w:val="auto"/>
        </w:rPr>
        <w:t>This news release contains certain “forward-looking information” and “forward-looking statements” (collectively, “forward-looking information”) that are based on expectations, estimates and projections as at the date of this news release and are covered by safe harbors under Canadian and United States securities laws. The statements and information in this release regarding projected growth, target hashrate, opportunities relating to the Company’s geographical diversification and expansion, upgrading and deployment of miners as well as the timing therefor, improved financial performance and balance sheet liquidity, other growth opportunities and prospects, and other statements regarding future growth, plans and objectives of the Company are forward-looking information. 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“prospects”, “believes” or “intends” or variations of such words and phrases or stating that certain actions, events or results “may” or “could”, “would”, “might” or “will” be taken to occur or be achieved) are not statements of historical fact and may be forward-looking information and are intended to identify forward-looking information.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left="20" w:hanging="8"/>
        <w:spacing w:after="0" w:line="252" w:lineRule="auto"/>
        <w:rPr>
          <w:sz w:val="20"/>
          <w:szCs w:val="20"/>
          <w:color w:val="auto"/>
        </w:rPr>
      </w:pPr>
      <w:r>
        <w:rPr>
          <w:rFonts w:ascii="Times New Roman" w:cs="Times New Roman" w:eastAsia="Times New Roman" w:hAnsi="Times New Roman"/>
          <w:sz w:val="18"/>
          <w:szCs w:val="18"/>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construction and operation of new facilities may not occur as currently planned, or at all; expansion of existing facilities may not materialize as currently anticipated, or at all; new miners may not perform up to expectations; revenue may not increase as currently anticipated, or at all; the ongoing ability to successfully mine digital currency is not assured; it may not be possible to profitably liquidate the current digital currency inventory, or at all; the digital currency market may not continue to be accepted by users; digital currency prices are volatile and a decline in digital currency prices may have a significant negative impact on operations; an increase in network difficulty may have a significant negative impact on operations; the anticipated growth and sustainability of hydroelectricity for the purposes of cryptocurrency mining in the applicable jurisdictions may not be achieved; the Company may not be able to maintain reliable and economical sources of power for the Company to operate its cryptocurrency mining assets; \here may be increases in the Company’s electricity costs and costs of natural gas, the Company may be impacted by changes in currency exchange rates, energy curtailment or regulatory changes in the energy regimes in the jurisdictions in which the Company operates, which could adversely impact the Company’s profitability; the Company ability to expand will depend upon the completion of future financings,; and the adoption of new, or changes in existing, regulations or laws could prevent the Company from operating its business, or make it more costly to do so. For further information concerning these and other risks and uncertainties, refer to the Company’s filings on www.SEDAR.com (which are also available on the website of the U.S. Securities and Exchange Commission at www.sec.gov), including the Company’s annual information form for the year-ended December 31, 2023, filed on March 7, 2024.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Tracy Krumme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SVP, 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+1 786-671-5638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tkrumme@bitfarms.com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Actual Agency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Khushboo Chaudhary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+1 646-373-9946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mediarelations@bitfarms.com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Québec Media: 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Louis-Martin Leclerc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+1 418-693-2425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lmleclerc@tactconseil.ca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Katcher or Joseph Sala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Joele Frank, Wilkinson Brimmer Katcher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+1 212-355-4449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o"/>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19" Type="http://schemas.openxmlformats.org/officeDocument/2006/relationships/hyperlink" Target="https://www.sec.gov/Archives/edgar/data/1812477/000121390023052498/ea180981-f10_bitfarmslt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2024-06-03T15:05:44Z</dcterms:created>
  <dcterms:modified xsi:type="dcterms:W3CDTF">2024-06-03T15:05:44Z</dcterms:modified>
</cp:coreProperties>
</file>