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OR 15d-16</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165735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151765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343535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368935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523240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105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ind w:right="220"/>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On March 18,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w:t>
      </w:r>
      <w:hyperlink r:id="rId19">
        <w:r>
          <w:rPr>
            <w:rFonts w:ascii="Times New Roman" w:cs="Times New Roman" w:eastAsia="Times New Roman" w:hAnsi="Times New Roman"/>
            <w:sz w:val="18"/>
            <w:szCs w:val="18"/>
            <w:color w:val="auto"/>
          </w:rPr>
          <w:t xml:space="preserve">reference into the Registration Statements of Bitfarms Ltd. on </w:t>
        </w:r>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color w:val="auto"/>
          </w:rPr>
          <w:t xml:space="preserve"> (File No. 333-272989), Form S-8 (File No. </w:t>
        </w:r>
        <w:r>
          <w:rPr>
            <w:rFonts w:ascii="Times New Roman" w:cs="Times New Roman" w:eastAsia="Times New Roman" w:hAnsi="Times New Roman"/>
            <w:sz w:val="18"/>
            <w:szCs w:val="18"/>
            <w:u w:val="single" w:color="auto"/>
            <w:color w:val="0000EE"/>
          </w:rPr>
          <w:t>333-278868</w:t>
        </w:r>
        <w:r>
          <w:rPr>
            <w:rFonts w:ascii="Times New Roman" w:cs="Times New Roman" w:eastAsia="Times New Roman" w:hAnsi="Times New Roman"/>
            <w:sz w:val="18"/>
            <w:szCs w:val="18"/>
            <w:color w:val="auto"/>
          </w:rPr>
          <w:t xml:space="preserve"> and File No. </w:t>
        </w:r>
        <w:r>
          <w:rPr>
            <w:rFonts w:ascii="Times New Roman" w:cs="Times New Roman" w:eastAsia="Times New Roman" w:hAnsi="Times New Roman"/>
            <w:sz w:val="18"/>
            <w:szCs w:val="18"/>
            <w:u w:val="single" w:color="auto"/>
            <w:color w:val="0000EE"/>
          </w:rPr>
          <w:t>333-</w:t>
        </w:r>
      </w:hyperlink>
      <w:hyperlink r:id="rId19">
        <w:r>
          <w:rPr>
            <w:rFonts w:ascii="Times New Roman" w:cs="Times New Roman" w:eastAsia="Times New Roman" w:hAnsi="Times New Roman"/>
            <w:sz w:val="18"/>
            <w:szCs w:val="18"/>
            <w:u w:val="single" w:color="auto"/>
            <w:color w:val="0000EE"/>
          </w:rPr>
          <w:t>285894</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 xml:space="preserve">Form F-4 </w:t>
        </w:r>
      </w:hyperlink>
      <w:hyperlink r:id="rId19">
        <w:r>
          <w:rPr>
            <w:rFonts w:ascii="Times New Roman" w:cs="Times New Roman" w:eastAsia="Times New Roman" w:hAnsi="Times New Roman"/>
            <w:sz w:val="18"/>
            <w:szCs w:val="18"/>
            <w:color w:val="000000"/>
          </w:rPr>
          <w:t xml:space="preserve">(File No. 333-282657), each as amended or supplemented. On March 19, 2025, the Registrant filed with the Canadian </w:t>
        </w:r>
      </w:hyperlink>
      <w:r>
        <w:rPr>
          <w:rFonts w:ascii="Times New Roman" w:cs="Times New Roman" w:eastAsia="Times New Roman" w:hAnsi="Times New Roman"/>
          <w:sz w:val="18"/>
          <w:szCs w:val="18"/>
          <w:color w:val="0000EE"/>
        </w:rPr>
        <w:t xml:space="preserve">Securities </w:t>
      </w:r>
      <w:r>
        <w:rPr>
          <w:rFonts w:ascii="Times New Roman" w:cs="Times New Roman" w:eastAsia="Times New Roman" w:hAnsi="Times New Roman"/>
          <w:sz w:val="18"/>
          <w:szCs w:val="18"/>
          <w:color w:val="000000"/>
        </w:rPr>
        <w:t>Regulatory Authorities on SEDAR + a press release, a copy of which is attached hereto as Exhibit 99.2, which is incorporated herein by reference.</w:t>
      </w:r>
    </w:p>
    <w:p>
      <w:pPr>
        <w:spacing w:after="0" w:line="183"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0000EE"/>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5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52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 Report dated March 18, 2025</w:t>
            </w:r>
          </w:p>
        </w:tc>
      </w:tr>
      <w:tr>
        <w:trPr>
          <w:trHeight w:val="175"/>
        </w:trPr>
        <w:tc>
          <w:tcPr>
            <w:tcW w:w="13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336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March 19, 2025</w:t>
            </w:r>
          </w:p>
        </w:tc>
        <w:tc>
          <w:tcPr>
            <w:tcW w:w="6520" w:type="dxa"/>
            <w:vAlign w:val="bottom"/>
            <w:tcBorders>
              <w:top w:val="single" w:sz="8" w:color="CCEEFF"/>
            </w:tcBorders>
          </w:tcPr>
          <w:p>
            <w:pPr>
              <w:spacing w:after="0"/>
              <w:rPr>
                <w:sz w:val="15"/>
                <w:szCs w:val="15"/>
                <w:color w:val="auto"/>
              </w:rPr>
            </w:pPr>
          </w:p>
        </w:tc>
      </w:tr>
      <w:tr>
        <w:trPr>
          <w:trHeight w:val="433"/>
        </w:trPr>
        <w:tc>
          <w:tcPr>
            <w:tcW w:w="1360" w:type="dxa"/>
            <w:vAlign w:val="bottom"/>
            <w:tcBorders>
              <w:bottom w:val="single" w:sz="8" w:color="auto"/>
            </w:tcBorders>
          </w:tcPr>
          <w:p>
            <w:pPr>
              <w:spacing w:after="0"/>
              <w:rPr>
                <w:sz w:val="24"/>
                <w:szCs w:val="24"/>
                <w:color w:val="auto"/>
              </w:rPr>
            </w:pPr>
          </w:p>
        </w:tc>
        <w:tc>
          <w:tcPr>
            <w:tcW w:w="254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2" w:name="page3"/>
    <w:bookmarkEnd w:id="2"/>
    <w:p>
      <w:pPr>
        <w:ind w:left="49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By: /s/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17145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694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222885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480" w:top="864" w:right="11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2025</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March 18, 2025 by a newswire company in Canada.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154305</wp:posOffset>
            </wp:positionV>
            <wp:extent cx="2562860"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56286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Completes Strategic Sale of its Yguazu, Paraguay Data Center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-Accretive transaction valued at approximately U.S. $85 million-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-Bitfarms to reinvest capital in U.S. growth opportunities-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Bitfarms’ second amended and restated prospectus supplement dated December 17, 2024, to its short form base shelf prospectus dated November 10, 2023.</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(March 18, 2025) </w:t>
      </w:r>
      <w:r>
        <w:rPr>
          <w:rFonts w:ascii="Times New Roman" w:cs="Times New Roman" w:eastAsia="Times New Roman" w:hAnsi="Times New Roman"/>
          <w:sz w:val="18"/>
          <w:szCs w:val="18"/>
          <w:color w:val="auto"/>
        </w:rPr>
        <w:t>- Bitfarms Ltd. (NASDAQ/TSX: BITF), a global Bitcoin and vertically integrated data center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the successful completion of the sale of its 200 MW data center in Yguazu, Paraguay to HIVE Digital Technologies, Ltd. (“HIVE”).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CEO Ben Gagnon stated, “We are pleased to have expeditiously completed the sale of our Yguazu site to HIVE, allowing us to streamline our operations and further rebalance our portfolio towards North America. We now anticipate that our year-end 2025 proforma energy portfolio will be ~80% North American and ~20% international, marking a significant milestone in our transition from an international Bitcoin miner to a North American energy and compute infrastructure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CFO Jeff Lucas stated, “This accretive sale is expected to significantly reduce our 2025 capex requirements, while reducing our average power costs by 10%. We plan to reinvest the savings and capital from this sale towards our 1.1 GW U.S. growth pipeline for Bitcoin mining and HPC/AI infrastructure, in line with our strategy to grow in the U.S. and diversify beyond Bitcoin mining.”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is a global Bitcoin and vertically integrated data center company that sells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15 operating Bitcoin data centers in four countries: the United States, Canada, Paraguay, and Argentina. Powered predominantly by environmentally friendly hydro-electric and long-term power contracts, Bitfarms is committed to using sustainable and often underutilized energy infrastructure.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371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https://x.com/Bitfarms_io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GW = Gigawatt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83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w:t>
      </w:r>
      <w:r>
        <w:rPr>
          <w:rFonts w:ascii="Times New Roman" w:cs="Times New Roman" w:eastAsia="Times New Roman" w:hAnsi="Times New Roman"/>
          <w:sz w:val="18"/>
          <w:szCs w:val="18"/>
          <w:i w:val="1"/>
          <w:iCs w:val="1"/>
          <w:color w:val="auto"/>
          <w:highlight w:val="white"/>
        </w:rPr>
        <w:t xml:space="preserve">securities laws. The statements and information in this release regarding </w:t>
      </w:r>
      <w:r>
        <w:rPr>
          <w:rFonts w:ascii="Times New Roman" w:cs="Times New Roman" w:eastAsia="Times New Roman" w:hAnsi="Times New Roman"/>
          <w:sz w:val="18"/>
          <w:szCs w:val="18"/>
          <w:i w:val="1"/>
          <w:iCs w:val="1"/>
          <w:color w:val="auto"/>
        </w:rPr>
        <w:t>the sale of the Yguazu, Paraguay Site, the merits of the rebalancing operations to</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i w:val="1"/>
          <w:iCs w:val="1"/>
          <w:color w:val="auto"/>
        </w:rPr>
        <w:t xml:space="preserve">North America, the reinvestment of the proceeds of the sale for growth and projected growth, the North American energy and compute infrastructure strategy </w:t>
      </w:r>
      <w:r>
        <w:rPr>
          <w:rFonts w:ascii="Times New Roman" w:cs="Times New Roman" w:eastAsia="Times New Roman" w:hAnsi="Times New Roman"/>
          <w:sz w:val="18"/>
          <w:szCs w:val="18"/>
          <w:i w:val="1"/>
          <w:iCs w:val="1"/>
          <w:color w:val="auto"/>
          <w:highlight w:val="white"/>
        </w:rPr>
        <w:t>and other statements regarding future growth, plans and objectives of the Company are forward-looking information. Any statements that involve</w:t>
      </w:r>
      <w:r>
        <w:rPr>
          <w:rFonts w:ascii="Times New Roman" w:cs="Times New Roman" w:eastAsia="Times New Roman" w:hAnsi="Times New Roman"/>
          <w:sz w:val="18"/>
          <w:szCs w:val="18"/>
          <w:i w:val="1"/>
          <w:iCs w:val="1"/>
          <w:color w:val="auto"/>
        </w:rPr>
        <w:t xml:space="preserve"> discussions with respect to predictions, expectations, beliefs, plans, projections, objectives, assumptions, future events or performance (often but not always </w:t>
      </w:r>
      <w:r>
        <w:rPr>
          <w:rFonts w:ascii="Times New Roman" w:cs="Times New Roman" w:eastAsia="Times New Roman" w:hAnsi="Times New Roman"/>
          <w:sz w:val="18"/>
          <w:szCs w:val="18"/>
          <w:i w:val="1"/>
          <w:iCs w:val="1"/>
          <w:color w:val="auto"/>
          <w:highlight w:val="white"/>
        </w:rPr>
        <w:t xml:space="preserve">using phrases such as “expects”, or “does not expect”, “is expected”, “anticipates” or “does not anticipate”, “plans”, “budget”, “scheduled”, </w:t>
      </w:r>
      <w:r>
        <w:rPr>
          <w:rFonts w:ascii="Times New Roman" w:cs="Times New Roman" w:eastAsia="Times New Roman" w:hAnsi="Times New Roman"/>
          <w:sz w:val="18"/>
          <w:szCs w:val="18"/>
          <w:i w:val="1"/>
          <w:iCs w:val="1"/>
          <w:color w:val="auto"/>
        </w:rPr>
        <w:t xml:space="preserve">“forecasts”, “estimates”, “prospects”, “believes” or “intends” or variations of such words and phrases or stating that certain actions, events or results “may” or “could”, “would”, “might” or “will” be taken to occur or be achieved) are not statements of historical fact and may be forward-looking </w:t>
      </w:r>
      <w:r>
        <w:rPr>
          <w:rFonts w:ascii="Times New Roman" w:cs="Times New Roman" w:eastAsia="Times New Roman" w:hAnsi="Times New Roman"/>
          <w:sz w:val="18"/>
          <w:szCs w:val="18"/>
          <w:i w:val="1"/>
          <w:iCs w:val="1"/>
          <w:color w:val="auto"/>
          <w:highlight w:val="white"/>
        </w:rPr>
        <w:t>information and are intended to identify forward-looking information.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failure to receive payments owing pursuant to the sale of the Yguazu, Paraguay Site on the terms as announced or at all; the reinvestment of the proceeds of the sale may not occur on an economic basis; the anticipated benefits of the rebalancing of operations to North America and the North American energy and compute infrastructure strategy may not be realized; an inability to apply the Company’s data centers to HPC/AI opportunities on a profitable basis; a failure to secure long-term contracts associated with HPC/AI customers on terms which are economic or at all; the construction and operation of the Company’s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any regulations or laws that will prevent Bitfarms from operating its business;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restated MD&amp;A for the year-ended December 31, 2023, filed on December 9,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83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164465</wp:posOffset>
            </wp:positionV>
            <wp:extent cx="2528570"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5285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Schedules Fourth Quarter and Full Year 2024 Conference Call on March 27, 2025</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Toronto, Ontario (March 19, 2025) </w:t>
      </w:r>
      <w:r>
        <w:rPr>
          <w:rFonts w:ascii="Times New Roman" w:cs="Times New Roman" w:eastAsia="Times New Roman" w:hAnsi="Times New Roman"/>
          <w:sz w:val="18"/>
          <w:szCs w:val="18"/>
          <w:color w:val="auto"/>
        </w:rPr>
        <w:t>- Bitfarms Ltd. (NASDAQ/TSX: BITF), a global Bitcoin and vertically integrated data center company, will report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 and full year 2024 financial results on Thursday, March 27 before the market opens. Management will host a conference call on the same day at 8:00 am EST. All Q4 2024 materials will be available before the call and can be accessed on the ‘Financial Results’ section of the Bitfarms investor site.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live webcast and a webcast replay of the conference call can be accessed here. To access the call by telephone, register here to receive dial-in numbers and a unique PIN to join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4389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438912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is a global Bitcoin and vertically integrated data center company that sells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Bitfarms currently has 15 operating Bitcoin data centersin four countries: the United States, Canada,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https://x.com/Bitfarms_io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jpeg"/><Relationship Id="rId33" Type="http://schemas.openxmlformats.org/officeDocument/2006/relationships/image" Target="media/image24.png"/><Relationship Id="rId19" Type="http://schemas.openxmlformats.org/officeDocument/2006/relationships/hyperlink" Target="https://www.sec.gov/Archives/edgar/data/1812477/000101376225000733/ea0232744-s8_bitfarms.htm" TargetMode="External"/><Relationship Id="rId20" Type="http://schemas.openxmlformats.org/officeDocument/2006/relationships/hyperlink" Target="https://www.sec.gov/Archives/edgar/data/1812477/000121390025004774/ea0216025-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2025-03-21T05:13:43Z</dcterms:created>
  <dcterms:modified xsi:type="dcterms:W3CDTF">2025-03-21T05:13:43Z</dcterms:modified>
</cp:coreProperties>
</file>