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161290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March 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BITFARMS LTD.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18 King Street East, Suite 902, Toronto, Ontario, Canada M5C 1C4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320"/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172720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198755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644525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02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500"/>
        <w:spacing w:after="0" w:line="266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On March 7, 2023 the Registrant filed with the Canadian Securities Regulatory Authorities on the System for Electronic Data Analysis and Retrieval (SEDAR) a press release, a copy of which is attached hereto as Exhibit 99.1, and which is incorporated by reference to the Company’s Registration Statement on </w:t>
      </w:r>
      <w:hyperlink r:id="rId19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Form F-10</w:t>
        </w:r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auto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(File No. 333-258788).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9"/>
        </w:trPr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Exhibit No.</w:t>
            </w:r>
          </w:p>
        </w:tc>
        <w:tc>
          <w:tcPr>
            <w:tcW w:w="10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176"/>
        </w:trPr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99.1</w:t>
            </w: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0" w:type="dxa"/>
            <w:vAlign w:val="bottom"/>
            <w:tcBorders>
              <w:top w:val="single" w:sz="8" w:color="auto"/>
            </w:tcBorders>
            <w:gridSpan w:val="3"/>
            <w:shd w:val="clear" w:color="auto" w:fill="CCEEFF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Press release dated March 7, 2023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1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L. Geoffrey Morphy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4582795</wp:posOffset>
            </wp:positionH>
            <wp:positionV relativeFrom="paragraph">
              <wp:posOffset>17145</wp:posOffset>
            </wp:positionV>
            <wp:extent cx="2554605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L. Geoffrey Morphy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Executive Officer &amp; President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March 7, 2023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400"/>
          </w:cols>
          <w:pgMar w:left="320" w:top="904" w:right="117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2559685</wp:posOffset>
            </wp:positionH>
            <wp:positionV relativeFrom="paragraph">
              <wp:posOffset>168275</wp:posOffset>
            </wp:positionV>
            <wp:extent cx="2031365" cy="53149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to Report Fourth Quarter and Full Year 2022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Financial Results on Tuesday, March 21, 2023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 Conference Call to be Held Tuesday, March 21, 2023, at 11:00 a.m. ET -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32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TORONTO and BROSSARD, Québec, March 7, 2023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-- Bitfarms Ltd. (NASDAQ: BITF // TSX: BITF), a global Bitcoin self-mining company, will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report its fiscal fourth quarter and full year 2022 financial results on Tuesday, March 21, 2023, before the market opens.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36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Management will host a conference call on Tuesday, March 21, 2023, at 11:00 a.m. ET to review the financial results. Following management’s formal remarks there will be a question-and-answer session. Pre-submitted questions may be considered and interested parties may submit questions at investors@bitfarms.com through March 20, 2023.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Conference call access: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Participants are asked to pre-register for the call through the following link: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Q4 2022 Conference Call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note that registered participants will receive their dial in number upon registration and will dial directly into the call without delay. Those without internet access or unable to pre-register may dial in by calling: 1-866-777-2509 (domestic), or 1-412-317-5413 (international). All callers should dial in approximately 10 minutes prior to the scheduled start time and ask to be joined into the Bitfarms call.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conference call will also be available through a live webcast found here: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Live Webcast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2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 webcast replay of the call will be available approximately one hour after the end of the call and will be available for one year, at the above webcast link. A telephonic replay of the call will be available through March 28, 2023, and may be accessed by calling 1-877-344-7529 (domestic) or 1-412-317-0088 (international) or Canada (toll free) 855-669-9658 and using access code 4928932. A presentation of the Q4 2022 results will be accessible on Tuesday, March 21, 2023, under the “Investors” section of Bitfarms’ website.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417195</wp:posOffset>
            </wp:positionV>
            <wp:extent cx="7132320" cy="171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08" w:right="3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  <w:highlight w:val="white"/>
        </w:rPr>
        <w:t>About Bitfarms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19685</wp:posOffset>
            </wp:positionV>
            <wp:extent cx="7123430" cy="13716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Founded in 2017, Bitfarms is a global, publicly traded (NASDAQ/TSX: BITF) Bitcoin self-mining company. Bitfarms runs vertically integrated mining operations with in-house management and company-owned electrical engineering, installation service, and onsite technical repair. The Company’s proprietary data analytics system delivers best-in-class operational performance and accelerated uptime.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-424815</wp:posOffset>
            </wp:positionV>
            <wp:extent cx="7132320" cy="219456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Bitfarms has 10 mining facilities in production around the world, which are located in four countries: Canada, the United States, Paraguay, and Argentina. Powered by predominantly environmentally friendly hydro-electric and long-term power contracts, Bitfarms is committed to using renewable, locally based, and often underutilized energy infrastructure.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learn more about Bitfarms’ events, developments, and online communities: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Website: www.bitfarms.com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https://www.facebook.com/bitfarms/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https://twitter.com/Bitfarms_io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https://www.instagram.com/bitfarms/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https://www.linkedin.com/company/bitfarms/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  <w:highlight w:val="white"/>
        </w:rPr>
        <w:t>Contact: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19685</wp:posOffset>
            </wp:positionV>
            <wp:extent cx="7123430" cy="13716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LHA Investor Relations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David Barnard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+1 415-433-3777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Investors@bitfarms.com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417195</wp:posOffset>
            </wp:positionV>
            <wp:extent cx="7132320" cy="171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100"/>
      </w:cols>
      <w:pgMar w:left="320" w:top="900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jpe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19" Type="http://schemas.openxmlformats.org/officeDocument/2006/relationships/hyperlink" Target="http://www.sec.gov/Archives/edgar/data/1812477/000121390021042378/ea145070-f10_bitfarmsltd.htm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2023-03-07T16:23:13Z</dcterms:created>
  <dcterms:modified xsi:type="dcterms:W3CDTF">2023-03-07T16:23:13Z</dcterms:modified>
</cp:coreProperties>
</file>