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OR 15d-16</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165735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151765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223520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248920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403225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79"/>
          </w:cols>
          <w:pgMar w:left="480" w:top="1078"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11, 2024, the Registrant filed with the Canadian Securities Regulatory Authorities on the System for Electronic Data Analysis and Retrieval</w:t>
      </w:r>
    </w:p>
    <w:p>
      <w:pPr>
        <w:spacing w:after="0" w:line="27" w:lineRule="exact"/>
        <w:rPr>
          <w:sz w:val="20"/>
          <w:szCs w:val="20"/>
          <w:color w:val="auto"/>
        </w:rPr>
      </w:pPr>
    </w:p>
    <w:p>
      <w:pPr>
        <w:ind w:right="2340" w:firstLine="8"/>
        <w:spacing w:after="0" w:line="487" w:lineRule="auto"/>
        <w:tabs>
          <w:tab w:leader="none" w:pos="14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(SEDAR +) a press release, a copy of which is attached hereto as Exhibit 99.1, which is incorporated herein by reference. See the Exhibits listed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820" w:type="dxa"/>
            <w:vAlign w:val="bottom"/>
          </w:tcPr>
          <w:p>
            <w:pPr>
              <w:spacing w:after="0"/>
              <w:rPr>
                <w:sz w:val="20"/>
                <w:szCs w:val="20"/>
                <w:color w:val="auto"/>
              </w:rPr>
            </w:pPr>
          </w:p>
        </w:tc>
        <w:tc>
          <w:tcPr>
            <w:tcW w:w="706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9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November 11, 2024</w:t>
            </w:r>
          </w:p>
        </w:tc>
      </w:tr>
      <w:tr>
        <w:trPr>
          <w:trHeight w:val="433"/>
        </w:trPr>
        <w:tc>
          <w:tcPr>
            <w:tcW w:w="1360" w:type="dxa"/>
            <w:vAlign w:val="bottom"/>
            <w:tcBorders>
              <w:bottom w:val="single" w:sz="8" w:color="auto"/>
            </w:tcBorders>
          </w:tcPr>
          <w:p>
            <w:pPr>
              <w:spacing w:after="0"/>
              <w:rPr>
                <w:sz w:val="24"/>
                <w:szCs w:val="24"/>
                <w:color w:val="auto"/>
              </w:rPr>
            </w:pPr>
          </w:p>
        </w:tc>
        <w:tc>
          <w:tcPr>
            <w:tcW w:w="2820" w:type="dxa"/>
            <w:vAlign w:val="bottom"/>
            <w:tcBorders>
              <w:top w:val="single" w:sz="8" w:color="0000EE"/>
              <w:bottom w:val="single" w:sz="8" w:color="auto"/>
            </w:tcBorders>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6" w:right="33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100"/>
        <w:spacing w:after="0"/>
        <w:tabs>
          <w:tab w:leader="none" w:pos="76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320" w:top="580" w:right="11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156845</wp:posOffset>
            </wp:positionV>
            <wp:extent cx="2031365"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Bitfarms Reschedules Third Quarter 2024 Conference Call to November 13</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2024</w:t>
      </w:r>
    </w:p>
    <w:p>
      <w:pPr>
        <w:spacing w:after="0" w:line="3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November 11, 2024 </w:t>
      </w:r>
      <w:r>
        <w:rPr>
          <w:rFonts w:ascii="Times New Roman" w:cs="Times New Roman" w:eastAsia="Times New Roman" w:hAnsi="Times New Roman"/>
          <w:sz w:val="18"/>
          <w:szCs w:val="18"/>
          <w:color w:val="auto"/>
        </w:rPr>
        <w:t>-- Bitfarms Ltd. (NASDAQ/TSX: BITF), a global vertically integrated Bitcoin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 center company, announced today that it will be rescheduling its third quarter 2024 financial results conference call. The Company will report its third</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quarter 2024 financial results on Wednesday, November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before the market opens. Management will host a conference call on the same day at 8:00 am EST. All Q3 2024 materials will be available before the call and can be accessed on the ‘Financial Results’ section of the Bitfarms investor site.</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those that have already registered, all links will remain the same as previously announced. The live webcast and a webcast replay of the conference call can be accessed here. To access the call by telephone, register here to receive dial-in numbers and a unique PIN to join the call.</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-116840</wp:posOffset>
            </wp:positionV>
            <wp:extent cx="712343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128" w:lineRule="exact"/>
        <w:rPr>
          <w:sz w:val="20"/>
          <w:szCs w:val="20"/>
          <w:color w:val="auto"/>
        </w:rPr>
      </w:pPr>
    </w:p>
    <w:p>
      <w:pPr>
        <w:jc w:val="both"/>
        <w:ind w:left="20" w:hanging="11"/>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vertically integrated Bitcoin data center company that contributes its computational power to one or more mining pools from which it receives payment in Bitcoin. Bitfarms develops, owns, and operates vertically integrated data centers with in-house management and company-owned electrical engineering, installation service, and multiple onsite technical repair centers. The Company’s proprietary data analytics system delivers best-in-class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-559435</wp:posOffset>
            </wp:positionV>
            <wp:extent cx="7123430" cy="548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548640"/>
                    </a:xfrm>
                    <a:prstGeom prst="rect">
                      <a:avLst/>
                    </a:prstGeom>
                    <a:noFill/>
                  </pic:spPr>
                </pic:pic>
              </a:graphicData>
            </a:graphic>
          </wp:anchor>
        </w:drawing>
      </w:r>
    </w:p>
    <w:p>
      <w:pPr>
        <w:spacing w:after="0" w:line="92"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-424815</wp:posOffset>
            </wp:positionV>
            <wp:extent cx="712343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41148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2343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23430" cy="548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3430" cy="54864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920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92024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2024-11-12T08:41:23Z</dcterms:created>
  <dcterms:modified xsi:type="dcterms:W3CDTF">2024-11-12T08:41:23Z</dcterms:modified>
</cp:coreProperties>
</file>