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May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Commission File Number: 333-258788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 F.</w:t>
      </w:r>
    </w:p>
    <w:p>
      <w:pPr>
        <w:spacing w:after="0" w:line="192" w:lineRule="exact"/>
        <w:rPr>
          <w:sz w:val="24"/>
          <w:szCs w:val="24"/>
          <w:color w:val="auto"/>
        </w:rPr>
      </w:pPr>
    </w:p>
    <w:p>
      <w:pPr>
        <w:ind w:left="45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920" w:type="dxa"/>
            <w:vAlign w:val="bottom"/>
          </w:tcPr>
          <w:p>
            <w:pPr>
              <w:spacing w:after="0"/>
              <w:rPr>
                <w:sz w:val="20"/>
                <w:szCs w:val="20"/>
                <w:color w:val="auto"/>
              </w:rPr>
            </w:pPr>
          </w:p>
        </w:tc>
      </w:tr>
      <w:tr>
        <w:trPr>
          <w:trHeight w:val="493"/>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Description</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20" w:type="dxa"/>
            <w:vAlign w:val="bottom"/>
          </w:tcPr>
          <w:p>
            <w:pPr>
              <w:spacing w:after="0"/>
              <w:rPr>
                <w:sz w:val="18"/>
                <w:szCs w:val="18"/>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EE"/>
              </w:rPr>
              <w:t>Press release dated May 24, 2023</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99.2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Arial" w:cs="Arial" w:eastAsia="Arial" w:hAnsi="Arial"/>
                <w:sz w:val="18"/>
                <w:szCs w:val="18"/>
                <w:color w:val="0000EE"/>
              </w:rPr>
              <w:t>Report of voting results dated May 24, 2023</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14605</wp:posOffset>
            </wp:positionV>
            <wp:extent cx="262318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1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120"/>
        <w:spacing w:after="0"/>
        <w:tabs>
          <w:tab w:leader="none" w:pos="7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30,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165735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Bitfarms Announces Results of Annual General and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Special Meeting of Shareholders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Toronto, Ontario and Brossard, Québec (May 24, 2023) </w:t>
      </w:r>
      <w:r>
        <w:rPr>
          <w:rFonts w:ascii="Arial" w:cs="Arial" w:eastAsia="Arial" w:hAnsi="Arial"/>
          <w:sz w:val="18"/>
          <w:szCs w:val="18"/>
          <w:color w:val="auto"/>
        </w:rPr>
        <w:t>-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w:t>
      </w:r>
      <w:r>
        <w:rPr>
          <w:rFonts w:ascii="Arial" w:cs="Arial" w:eastAsia="Arial" w:hAnsi="Arial"/>
          <w:sz w:val="18"/>
          <w:szCs w:val="18"/>
          <w:b w:val="1"/>
          <w:bCs w:val="1"/>
          <w:color w:val="auto"/>
        </w:rPr>
        <w:t xml:space="preserve"> </w:t>
      </w:r>
      <w:r>
        <w:rPr>
          <w:rFonts w:ascii="Arial" w:cs="Arial" w:eastAsia="Arial" w:hAnsi="Arial"/>
          <w:sz w:val="18"/>
          <w:szCs w:val="18"/>
          <w:color w:val="auto"/>
        </w:rPr>
        <w:t>vertically integrated Bitcoin mining company, today announces the results of its annual general and special meeting of shareholders (the “</w:t>
      </w:r>
      <w:r>
        <w:rPr>
          <w:rFonts w:ascii="Arial" w:cs="Arial" w:eastAsia="Arial" w:hAnsi="Arial"/>
          <w:sz w:val="18"/>
          <w:szCs w:val="18"/>
          <w:b w:val="1"/>
          <w:bCs w:val="1"/>
          <w:color w:val="auto"/>
        </w:rPr>
        <w:t>Meeting</w:t>
      </w:r>
      <w:r>
        <w:rPr>
          <w:rFonts w:ascii="Arial" w:cs="Arial" w:eastAsia="Arial" w:hAnsi="Arial"/>
          <w:sz w:val="18"/>
          <w:szCs w:val="18"/>
          <w:color w:val="auto"/>
        </w:rPr>
        <w:t>”), held virtually on May 24, 2023. A total of 72,262,470 common shares, representing 30.08% of the issued and outstanding common shares of the Company were represented at the Meeting.</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Based on the proxies received and the votes cast at the Meeting, six directors (the “</w:t>
      </w:r>
      <w:r>
        <w:rPr>
          <w:rFonts w:ascii="Arial" w:cs="Arial" w:eastAsia="Arial" w:hAnsi="Arial"/>
          <w:sz w:val="18"/>
          <w:szCs w:val="18"/>
          <w:b w:val="1"/>
          <w:bCs w:val="1"/>
          <w:color w:val="auto"/>
        </w:rPr>
        <w:t>Directors</w:t>
      </w:r>
      <w:r>
        <w:rPr>
          <w:rFonts w:ascii="Arial" w:cs="Arial" w:eastAsia="Arial" w:hAnsi="Arial"/>
          <w:sz w:val="18"/>
          <w:szCs w:val="18"/>
          <w:color w:val="auto"/>
        </w:rPr>
        <w:t>”) were elected for the ensuing year. The following is a tabulation of the votes submitted: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00" w:type="dxa"/>
            <w:vAlign w:val="bottom"/>
          </w:tcPr>
          <w:p>
            <w:pPr>
              <w:spacing w:after="0"/>
              <w:rPr>
                <w:sz w:val="20"/>
                <w:szCs w:val="20"/>
                <w:color w:val="auto"/>
              </w:rPr>
            </w:pPr>
            <w:r>
              <w:rPr>
                <w:rFonts w:ascii="Arial" w:cs="Arial" w:eastAsia="Arial" w:hAnsi="Arial"/>
                <w:sz w:val="18"/>
                <w:szCs w:val="18"/>
                <w:b w:val="1"/>
                <w:bCs w:val="1"/>
                <w:color w:val="auto"/>
              </w:rPr>
              <w:t>Nominee</w:t>
            </w:r>
          </w:p>
        </w:tc>
        <w:tc>
          <w:tcPr>
            <w:tcW w:w="12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Votes For</w:t>
            </w:r>
          </w:p>
        </w:tc>
        <w:tc>
          <w:tcPr>
            <w:tcW w:w="2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Votes Against*</w:t>
            </w:r>
          </w:p>
        </w:tc>
      </w:tr>
      <w:tr>
        <w:trPr>
          <w:trHeight w:val="216"/>
        </w:trPr>
        <w:tc>
          <w:tcPr>
            <w:tcW w:w="8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Nicolas Bonta</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36,843,570</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4,054,758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Andres Finkielsztain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34,477,109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6,421,219</w:t>
            </w:r>
          </w:p>
        </w:tc>
        <w:tc>
          <w:tcPr>
            <w:tcW w:w="10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Emiliano Joel Grodzki</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23,273,371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17,624,957</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Edith M. Hofmeister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39,753,171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1,145,157</w:t>
            </w:r>
          </w:p>
        </w:tc>
        <w:tc>
          <w:tcPr>
            <w:tcW w:w="10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Brian Howlett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29,372,402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11,525,926</w:t>
            </w:r>
          </w:p>
        </w:tc>
        <w:tc>
          <w:tcPr>
            <w:tcW w:w="100" w:type="dxa"/>
            <w:vAlign w:val="bottom"/>
            <w:shd w:val="clear" w:color="auto" w:fill="CCEEFF"/>
          </w:tcPr>
          <w:p>
            <w:pPr>
              <w:spacing w:after="0"/>
              <w:rPr>
                <w:sz w:val="18"/>
                <w:szCs w:val="18"/>
                <w:color w:val="auto"/>
              </w:rPr>
            </w:pP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Geoffrey Morphy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36,859,871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4,038,457</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Proxies representing a total of 31,364,142 common shares were not voted in respect to the election of directors.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Shareholders also voted in favor of reappointing PricewaterhouseCoopers LLP, as auditors of the Company for the ensuing year and authorized the Directors to fix their remuneration, with votes “For” totaling 71,810,528 common shares and votes “Withheld” totaling 451,942 common shares.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votes “For” totaling 64,694,009 common shares and 7,568,461 “Against”, shareholders voted in favor of a special resolution approving an amendment to the articles of the Corporation for the future consolidation of the Common Shares on the basis of one (1) post-consolidation Common Share for up to ten (10) pre-consolidation Common Shares, if, and at such time following the date of the Meeting, as may be determined by the Board of Directors of the Corporation in its sole discretion, as more particularly described in the Management Information Circular dated April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Following the Meeting, the Directors reappointed the following Officers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L. Geoffrey Morphy</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President and Chief Executive Officer</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Jeffrey Lucas</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Benjamin Gagnon</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Chief Mining Officer</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Benoit Gobeil</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w w:val="98"/>
              </w:rPr>
              <w:t>-   Senior Vice President Operations &amp; Infrastructure</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Marc-André Ammann</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Vice President of Finances &amp; Accounting</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Paul Magrath</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Vice President Taxation</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Patricia Osorio</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Vice President &amp; Corporate Secretary</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Andrea Keen Souza</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Vice President of Human Resources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Philippe Fortier</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Vice President of Corporate Development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Stephanie Wargo</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Vice President of Marketing &amp; Communications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Jeff (Jun Feng) Gao</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w w:val="95"/>
              </w:rPr>
              <w:t>-   Vice President of Risk Management &amp; Optimization</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Damian Luis Polla</w:t>
            </w:r>
          </w:p>
        </w:tc>
        <w:tc>
          <w:tcPr>
            <w:tcW w:w="4540" w:type="dxa"/>
            <w:vAlign w:val="bottom"/>
            <w:gridSpan w:val="2"/>
          </w:tcPr>
          <w:p>
            <w:pPr>
              <w:ind w:left="440"/>
              <w:spacing w:after="0"/>
              <w:rPr>
                <w:sz w:val="20"/>
                <w:szCs w:val="20"/>
                <w:color w:val="auto"/>
              </w:rPr>
            </w:pPr>
            <w:r>
              <w:rPr>
                <w:rFonts w:ascii="Arial" w:cs="Arial" w:eastAsia="Arial" w:hAnsi="Arial"/>
                <w:sz w:val="18"/>
                <w:szCs w:val="18"/>
                <w:color w:val="auto"/>
              </w:rPr>
              <w:t>-   General Manager LATAM Operations</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the report of voting results is available at the Company’s profile at www.sedar.com for the detailed results of the matters voted on by shareholders at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currently has 10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w/TH = Watts per Terahash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KWh = Kilowatt per hour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spacing w:after="0" w:line="283"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 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2022, filed on March 21, 2023.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 looking information other than as required by law.</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Helfer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10120"/>
        <w:spacing w:after="0"/>
        <w:rPr>
          <w:sz w:val="20"/>
          <w:szCs w:val="20"/>
          <w:color w:val="auto"/>
        </w:rPr>
      </w:pPr>
      <w:r>
        <w:rPr>
          <w:rFonts w:ascii="Arial" w:cs="Arial" w:eastAsia="Arial" w:hAnsi="Arial"/>
          <w:sz w:val="19"/>
          <w:szCs w:val="19"/>
          <w:b w:val="1"/>
          <w:bCs w:val="1"/>
          <w:color w:val="auto"/>
        </w:rPr>
        <w:t>Exhibit 99.2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24,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on Voting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11.3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National Instrument 51-102 – </w:t>
      </w:r>
      <w:r>
        <w:rPr>
          <w:rFonts w:ascii="Arial" w:cs="Arial" w:eastAsia="Arial" w:hAnsi="Arial"/>
          <w:sz w:val="18"/>
          <w:szCs w:val="18"/>
          <w:i w:val="1"/>
          <w:iCs w:val="1"/>
          <w:color w:val="auto"/>
        </w:rPr>
        <w:t>Continuous Disclosure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annual meeting (the “</w:t>
      </w:r>
      <w:r>
        <w:rPr>
          <w:rFonts w:ascii="Arial" w:cs="Arial" w:eastAsia="Arial" w:hAnsi="Arial"/>
          <w:sz w:val="18"/>
          <w:szCs w:val="18"/>
          <w:b w:val="1"/>
          <w:bCs w:val="1"/>
          <w:color w:val="auto"/>
        </w:rPr>
        <w:t>Meeting</w:t>
      </w:r>
      <w:r>
        <w:rPr>
          <w:rFonts w:ascii="Arial" w:cs="Arial" w:eastAsia="Arial" w:hAnsi="Arial"/>
          <w:sz w:val="18"/>
          <w:szCs w:val="18"/>
          <w:color w:val="auto"/>
        </w:rPr>
        <w:t>”) of shareholders of Bitfarms Ltd. (the “</w:t>
      </w:r>
      <w:r>
        <w:rPr>
          <w:rFonts w:ascii="Arial" w:cs="Arial" w:eastAsia="Arial" w:hAnsi="Arial"/>
          <w:sz w:val="18"/>
          <w:szCs w:val="18"/>
          <w:b w:val="1"/>
          <w:bCs w:val="1"/>
          <w:color w:val="auto"/>
        </w:rPr>
        <w:t>Company</w:t>
      </w:r>
      <w:r>
        <w:rPr>
          <w:rFonts w:ascii="Arial" w:cs="Arial" w:eastAsia="Arial" w:hAnsi="Arial"/>
          <w:sz w:val="18"/>
          <w:szCs w:val="18"/>
          <w:color w:val="auto"/>
        </w:rPr>
        <w:t>”) was held on May 24, 2023. Shareholders holding an aggregate of 72,262,470 common shares of the Company (“</w:t>
      </w:r>
      <w:r>
        <w:rPr>
          <w:rFonts w:ascii="Arial" w:cs="Arial" w:eastAsia="Arial" w:hAnsi="Arial"/>
          <w:sz w:val="18"/>
          <w:szCs w:val="18"/>
          <w:b w:val="1"/>
          <w:bCs w:val="1"/>
          <w:color w:val="auto"/>
        </w:rPr>
        <w:t>Common Shares</w:t>
      </w:r>
      <w:r>
        <w:rPr>
          <w:rFonts w:ascii="Arial" w:cs="Arial" w:eastAsia="Arial" w:hAnsi="Arial"/>
          <w:sz w:val="18"/>
          <w:szCs w:val="18"/>
          <w:color w:val="auto"/>
        </w:rPr>
        <w:t>”), being 30.08% of the issued and outstanding Common Shares as of the record date of April 4, 2023, were present or represented by proxy at the Meeting.</w:t>
      </w:r>
    </w:p>
    <w:p>
      <w:pPr>
        <w:spacing w:after="0" w:line="17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proxies received and the votes at the Meeting, all nominees set forth in the Company’s management information circular dated April 4, 2023 were elected as directors of the Company at the Meeting. Detailed results of the votes are set out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40" w:type="dxa"/>
            <w:vAlign w:val="bottom"/>
          </w:tcPr>
          <w:p>
            <w:pPr>
              <w:spacing w:after="0"/>
              <w:rPr>
                <w:sz w:val="20"/>
                <w:szCs w:val="20"/>
                <w:color w:val="auto"/>
              </w:rPr>
            </w:pPr>
            <w:r>
              <w:rPr>
                <w:rFonts w:ascii="Arial" w:cs="Arial" w:eastAsia="Arial" w:hAnsi="Arial"/>
                <w:sz w:val="18"/>
                <w:szCs w:val="18"/>
                <w:b w:val="1"/>
                <w:bCs w:val="1"/>
                <w:color w:val="auto"/>
              </w:rPr>
              <w:t>Nominee</w:t>
            </w:r>
          </w:p>
        </w:tc>
        <w:tc>
          <w:tcPr>
            <w:tcW w:w="12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Votes For</w:t>
            </w:r>
          </w:p>
        </w:tc>
        <w:tc>
          <w:tcPr>
            <w:tcW w:w="2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Votes Against</w:t>
            </w:r>
          </w:p>
        </w:tc>
      </w:tr>
      <w:tr>
        <w:trPr>
          <w:trHeight w:val="216"/>
        </w:trPr>
        <w:tc>
          <w:tcPr>
            <w:tcW w:w="8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Nicolas Bonta</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36,843,570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4,054,758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Andres Finkielsztain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34,477,109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6,421,219</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Emiliano Joel Grodzki</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23,273,371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17,624,957</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Edith M. Hofmeister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39,753,171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1,145,157</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Brian Howlett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29,372,402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11,525,926</w:t>
            </w:r>
          </w:p>
        </w:tc>
        <w:tc>
          <w:tcPr>
            <w:tcW w:w="100" w:type="dxa"/>
            <w:vAlign w:val="bottom"/>
            <w:shd w:val="clear" w:color="auto" w:fill="CCEEFF"/>
          </w:tcPr>
          <w:p>
            <w:pPr>
              <w:spacing w:after="0"/>
              <w:rPr>
                <w:sz w:val="18"/>
                <w:szCs w:val="18"/>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Geoffrey Morphy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36,859,871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4,038,457</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Proxies representing a total of 31,364,142 shares were not voted in respect of the election of directors.</w:t>
      </w:r>
    </w:p>
    <w:p>
      <w:pPr>
        <w:spacing w:after="0" w:line="22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2.  Appointment of Auditors</w:t>
      </w:r>
    </w:p>
    <w:p>
      <w:pPr>
        <w:spacing w:after="0" w:line="225"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Based on the proxies received and the votes at the Meeting, the shareholders of the Company (i) re-appointed PricewaterhouseCoopers LLP (“</w:t>
      </w:r>
      <w:r>
        <w:rPr>
          <w:rFonts w:ascii="Arial" w:cs="Arial" w:eastAsia="Arial" w:hAnsi="Arial"/>
          <w:sz w:val="16"/>
          <w:szCs w:val="16"/>
          <w:b w:val="1"/>
          <w:bCs w:val="1"/>
          <w:color w:val="auto"/>
        </w:rPr>
        <w:t>PWC</w:t>
      </w:r>
      <w:r>
        <w:rPr>
          <w:rFonts w:ascii="Arial" w:cs="Arial" w:eastAsia="Arial" w:hAnsi="Arial"/>
          <w:sz w:val="16"/>
          <w:szCs w:val="16"/>
          <w:color w:val="auto"/>
        </w:rPr>
        <w:t>”) as auditors of the Company, and (iii) authorized the directors of the Company to fix the remuneration of PWC. The outcome of the vote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220" w:type="dxa"/>
            <w:vAlign w:val="bottom"/>
            <w:tcBorders>
              <w:bottom w:val="single" w:sz="8" w:color="CCEEFF"/>
            </w:tcBorders>
          </w:tcPr>
          <w:p>
            <w:pPr>
              <w:spacing w:after="0"/>
              <w:rPr>
                <w:sz w:val="22"/>
                <w:szCs w:val="22"/>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Votes Withheld</w:t>
            </w:r>
          </w:p>
        </w:tc>
      </w:tr>
      <w:tr>
        <w:trPr>
          <w:trHeight w:val="210"/>
        </w:trPr>
        <w:tc>
          <w:tcPr>
            <w:tcW w:w="5520" w:type="dxa"/>
            <w:vAlign w:val="bottom"/>
            <w:shd w:val="clear" w:color="auto" w:fill="CCEEFF"/>
          </w:tcPr>
          <w:p>
            <w:pPr>
              <w:jc w:val="right"/>
              <w:ind w:right="2270"/>
              <w:spacing w:after="0"/>
              <w:rPr>
                <w:sz w:val="20"/>
                <w:szCs w:val="20"/>
                <w:color w:val="auto"/>
              </w:rPr>
            </w:pPr>
            <w:r>
              <w:rPr>
                <w:rFonts w:ascii="Arial" w:cs="Arial" w:eastAsia="Arial" w:hAnsi="Arial"/>
                <w:sz w:val="18"/>
                <w:szCs w:val="18"/>
                <w:color w:val="auto"/>
              </w:rPr>
              <w:t>71,810,528</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rPr>
              <w:t>451,942</w:t>
            </w:r>
          </w:p>
        </w:tc>
      </w:tr>
      <w:tr>
        <w:trPr>
          <w:trHeight w:val="432"/>
        </w:trPr>
        <w:tc>
          <w:tcPr>
            <w:tcW w:w="5520" w:type="dxa"/>
            <w:vAlign w:val="bottom"/>
          </w:tcPr>
          <w:p>
            <w:pPr>
              <w:ind w:left="340"/>
              <w:spacing w:after="0"/>
              <w:rPr>
                <w:sz w:val="20"/>
                <w:szCs w:val="20"/>
                <w:color w:val="auto"/>
              </w:rPr>
            </w:pPr>
            <w:r>
              <w:rPr>
                <w:rFonts w:ascii="Arial" w:cs="Arial" w:eastAsia="Arial" w:hAnsi="Arial"/>
                <w:sz w:val="18"/>
                <w:szCs w:val="18"/>
                <w:b w:val="1"/>
                <w:bCs w:val="1"/>
                <w:color w:val="auto"/>
              </w:rPr>
              <w:t>3.  Approval of Consolidation</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Based on the proxies received and the votes by ballot at the Meeting, the shareholders of the Company approved the special resolution to consolidate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issued and outstanding Common Shares on the basis of a maximum ratio of 10:1. The outcome of the vote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220" w:type="dxa"/>
            <w:vAlign w:val="bottom"/>
            <w:tcBorders>
              <w:bottom w:val="single" w:sz="8" w:color="CCEEFF"/>
            </w:tcBorders>
          </w:tcPr>
          <w:p>
            <w:pPr>
              <w:spacing w:after="0"/>
              <w:rPr>
                <w:sz w:val="22"/>
                <w:szCs w:val="22"/>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Against</w:t>
            </w:r>
          </w:p>
        </w:tc>
      </w:tr>
      <w:tr>
        <w:trPr>
          <w:trHeight w:val="210"/>
        </w:trPr>
        <w:tc>
          <w:tcPr>
            <w:tcW w:w="5520" w:type="dxa"/>
            <w:vAlign w:val="bottom"/>
            <w:shd w:val="clear" w:color="auto" w:fill="CCEEFF"/>
          </w:tcPr>
          <w:p>
            <w:pPr>
              <w:jc w:val="right"/>
              <w:ind w:right="2270"/>
              <w:spacing w:after="0"/>
              <w:rPr>
                <w:sz w:val="20"/>
                <w:szCs w:val="20"/>
                <w:color w:val="auto"/>
              </w:rPr>
            </w:pPr>
            <w:r>
              <w:rPr>
                <w:rFonts w:ascii="Arial" w:cs="Arial" w:eastAsia="Arial" w:hAnsi="Arial"/>
                <w:sz w:val="18"/>
                <w:szCs w:val="18"/>
                <w:color w:val="auto"/>
              </w:rPr>
              <w:t>64,694,009</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right"/>
              <w:ind w:right="2310"/>
              <w:spacing w:after="0"/>
              <w:rPr>
                <w:sz w:val="20"/>
                <w:szCs w:val="20"/>
                <w:color w:val="auto"/>
              </w:rPr>
            </w:pPr>
            <w:r>
              <w:rPr>
                <w:rFonts w:ascii="Arial" w:cs="Arial" w:eastAsia="Arial" w:hAnsi="Arial"/>
                <w:sz w:val="18"/>
                <w:szCs w:val="18"/>
                <w:color w:val="auto"/>
              </w:rPr>
              <w:t>7,568,461</w:t>
            </w: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2023-05-30T15:24:13Z</dcterms:created>
  <dcterms:modified xsi:type="dcterms:W3CDTF">2023-05-30T15:24:13Z</dcterms:modified>
</cp:coreProperties>
</file>