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764540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00" w:lineRule="exact"/>
        <w:rPr>
          <w:sz w:val="20"/>
          <w:szCs w:val="20"/>
          <w:color w:val="auto"/>
        </w:rPr>
      </w:pPr>
    </w:p>
    <w:p>
      <w:pPr>
        <w:spacing w:after="0" w:line="24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September 1,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580" w:type="dxa"/>
            <w:vAlign w:val="bottom"/>
          </w:tcPr>
          <w:p>
            <w:pPr>
              <w:spacing w:after="0"/>
              <w:rPr>
                <w:sz w:val="20"/>
                <w:szCs w:val="20"/>
                <w:color w:val="auto"/>
              </w:rPr>
            </w:pPr>
          </w:p>
        </w:tc>
        <w:tc>
          <w:tcPr>
            <w:tcW w:w="630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Change Report dated September 1, 2022</w:t>
            </w:r>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580" w:type="dxa"/>
            <w:vAlign w:val="bottom"/>
            <w:tcBorders>
              <w:top w:val="single" w:sz="8" w:color="0000EE"/>
              <w:bottom w:val="single" w:sz="8" w:color="auto"/>
            </w:tcBorders>
          </w:tcPr>
          <w:p>
            <w:pPr>
              <w:spacing w:after="0"/>
              <w:rPr>
                <w:sz w:val="24"/>
                <w:szCs w:val="24"/>
                <w:color w:val="auto"/>
              </w:rPr>
            </w:pPr>
          </w:p>
        </w:tc>
        <w:tc>
          <w:tcPr>
            <w:tcW w:w="63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tabs>
          <w:tab w:leader="none" w:pos="6660" w:val="left"/>
        </w:tabs>
        <w:rPr>
          <w:sz w:val="20"/>
          <w:szCs w:val="20"/>
          <w:color w:val="auto"/>
        </w:rPr>
      </w:pPr>
      <w:r>
        <w:rPr>
          <w:rFonts w:ascii="Times New Roman" w:cs="Times New Roman" w:eastAsia="Times New Roman" w:hAnsi="Times New Roman"/>
          <w:sz w:val="18"/>
          <w:szCs w:val="18"/>
          <w:color w:val="auto"/>
        </w:rPr>
        <w:t>Name:</w:t>
        <w:tab/>
        <w:t>L. Geoffrey Morphy</w:t>
      </w:r>
    </w:p>
    <w:p>
      <w:pPr>
        <w:spacing w:after="0" w:line="23" w:lineRule="exact"/>
        <w:rPr>
          <w:sz w:val="20"/>
          <w:szCs w:val="20"/>
          <w:color w:val="auto"/>
        </w:rPr>
      </w:pPr>
    </w:p>
    <w:p>
      <w:pPr>
        <w:ind w:left="5980"/>
        <w:spacing w:after="0"/>
        <w:tabs>
          <w:tab w:leader="none" w:pos="66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1, 2022.</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1, 2022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111760</wp:posOffset>
            </wp:positionV>
            <wp:extent cx="203136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August 2022 Production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Mining Operations Update</w:t>
      </w:r>
    </w:p>
    <w:p>
      <w:pPr>
        <w:spacing w:after="0" w:line="139" w:lineRule="exact"/>
        <w:rPr>
          <w:sz w:val="20"/>
          <w:szCs w:val="20"/>
          <w:color w:val="auto"/>
        </w:rPr>
      </w:pPr>
    </w:p>
    <w:p>
      <w:pPr>
        <w:ind w:left="3340"/>
        <w:spacing w:after="0"/>
        <w:tabs>
          <w:tab w:leader="none" w:pos="4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Nears energization of first Argentinian warehouse -</w:t>
      </w:r>
    </w:p>
    <w:p>
      <w:pPr>
        <w:spacing w:after="0" w:line="27" w:lineRule="exact"/>
        <w:rPr>
          <w:sz w:val="20"/>
          <w:szCs w:val="20"/>
          <w:color w:val="auto"/>
        </w:rPr>
      </w:pPr>
    </w:p>
    <w:p>
      <w:pPr>
        <w:ind w:left="4120" w:hanging="870"/>
        <w:spacing w:after="0"/>
        <w:tabs>
          <w:tab w:leader="none" w:pos="4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Mines 534 Bitcoins for an average of 17.2 BTC/day –</w:t>
      </w:r>
    </w:p>
    <w:p>
      <w:pPr>
        <w:spacing w:after="0" w:line="9" w:lineRule="exact"/>
        <w:rPr>
          <w:rFonts w:ascii="Times New Roman" w:cs="Times New Roman" w:eastAsia="Times New Roman" w:hAnsi="Times New Roman"/>
          <w:sz w:val="18"/>
          <w:szCs w:val="18"/>
          <w:color w:val="auto"/>
        </w:rPr>
      </w:pPr>
    </w:p>
    <w:p>
      <w:pPr>
        <w:ind w:left="4820" w:hanging="860"/>
        <w:spacing w:after="0"/>
        <w:tabs>
          <w:tab w:leader="none" w:pos="48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Launches new corporate website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3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1,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August 2022.</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segment of our first 50-megawatt (MW) warehouse in Rio Cuarto, Argentina, is nearing production and will be a key contributor to achieving our goal to deliver 4.2 exahash per second (EH/s) by September 30,” said Geoff Morphy, President and COO of Bitfarms. “More specifically, the first 10 MW of this warehouse is planned to be energized and start production ahead of schedule later this month, with capacity being added incrementally throughout Q4 2022. Construction at our second 50 MW warehouse in Rio Cuarto is scheduled to commence in September and expected to be completed around the beginning of Q2 2023.”</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we averaged over 17 BTC per day, ending the month with total production of 534 BTC, up 7% from 500 BTC in July,” said Ben Gagnon, Chief Mining Officer of Bitfarms. “Our hashrate grew to 3.9 EH/s, up 1% from the beginning of August, and we averaged 3.8 EH/s for the month.</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construction and renovation work at our farms in Sherbrooke continues on schedule. Once 12 MW are completed at Phase 3 of The Bunker and 18 MW are completed at Garlock, we will have fully built out our 96 MW contract in Sherbrooke and will be retiring our older 18 MW de la Pointe facility,” added Gagnon.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Production</w:t>
      </w:r>
    </w:p>
    <w:p>
      <w:pPr>
        <w:spacing w:after="0" w:line="148" w:lineRule="exact"/>
        <w:rPr>
          <w:sz w:val="20"/>
          <w:szCs w:val="20"/>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EH/s online as of August 31, 2022, up 278% from August 2021 and 1% from July 31, 2022.</w:t>
      </w:r>
    </w:p>
    <w:p>
      <w:pPr>
        <w:spacing w:after="0" w:line="2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EH/s average online for month of August.</w:t>
      </w:r>
    </w:p>
    <w:p>
      <w:pPr>
        <w:spacing w:after="0" w:line="9"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BTC/ average EH/s for the month of August, up 4% from 135 in July.</w:t>
      </w:r>
    </w:p>
    <w:p>
      <w:pPr>
        <w:spacing w:after="0" w:line="9"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 new BTC mined during August 2022, up 50% from August 2021, and up 6.8% from July 2022.</w:t>
      </w:r>
    </w:p>
    <w:p>
      <w:pPr>
        <w:spacing w:after="0" w:line="9" w:lineRule="exact"/>
        <w:rPr>
          <w:rFonts w:ascii="Times New Roman" w:cs="Times New Roman" w:eastAsia="Times New Roman" w:hAnsi="Times New Roman"/>
          <w:sz w:val="18"/>
          <w:szCs w:val="18"/>
          <w:color w:val="auto"/>
        </w:rPr>
      </w:pPr>
    </w:p>
    <w:p>
      <w:pPr>
        <w:ind w:left="640" w:hanging="322"/>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BTC mined daily on average in August, equivalent to about US$349,160 per day and approximately US$10.84 million for the month based on a BTC price of US$20,300 on August 31, 2022.</w:t>
      </w:r>
    </w:p>
    <w:p>
      <w:pPr>
        <w:ind w:left="640" w:hanging="322"/>
        <w:spacing w:after="0" w:line="26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2,128 BTC in custody on August 31, 2022, representing a total value of approximately US$43 million based on a BTC price of US$20,300. BTC held in custody on August 31, 2022, reflects the sale of 427 BTC during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162"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Rio Cuarto, Argentina:</w:t>
      </w:r>
    </w:p>
    <w:p>
      <w:pPr>
        <w:spacing w:after="0" w:line="27" w:lineRule="exact"/>
        <w:rPr>
          <w:sz w:val="20"/>
          <w:szCs w:val="20"/>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Neared completion of the first of five 10 MW modules at the first 50 MW warehouse.</w:t>
      </w:r>
    </w:p>
    <w:p>
      <w:pPr>
        <w:spacing w:after="0" w:line="9" w:lineRule="exact"/>
        <w:rPr>
          <w:rFonts w:ascii="Times New Roman" w:cs="Times New Roman" w:eastAsia="Times New Roman" w:hAnsi="Times New Roman"/>
          <w:sz w:val="18"/>
          <w:szCs w:val="18"/>
          <w:color w:val="auto"/>
        </w:rPr>
      </w:pPr>
    </w:p>
    <w:p>
      <w:pPr>
        <w:ind w:left="1300" w:hanging="334"/>
        <w:spacing w:after="0" w:line="250"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plans to commence construction on the second 50 MW warehouse located immediately beside the first warehouse. This facility is expected to be completed and ready for mining operations around the beginning of Q2 2023.</w:t>
      </w: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on schedule development in Sherbrooke, Québec, with construction at Phase 3 of The Bunker and at Garlock.</w:t>
      </w:r>
    </w:p>
    <w:p>
      <w:pPr>
        <w:spacing w:after="0" w:line="9"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Trained production teams in Rio Cuarto, Argentina, in anticipation of energization of first warehouse.</w:t>
      </w:r>
    </w:p>
    <w:p>
      <w:pPr>
        <w:spacing w:after="0" w:line="189" w:lineRule="exact"/>
        <w:rPr>
          <w:sz w:val="20"/>
          <w:szCs w:val="20"/>
          <w:color w:val="auto"/>
        </w:rPr>
      </w:pPr>
    </w:p>
    <w:tbl>
      <w:tblPr>
        <w:tblLayout w:type="fixed"/>
        <w:tblInd w:w="25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Bitfarms’ BTC 2022 Monthly Production</w:t>
            </w:r>
          </w:p>
        </w:tc>
      </w:tr>
      <w:tr>
        <w:trPr>
          <w:trHeight w:val="337"/>
        </w:trPr>
        <w:tc>
          <w:tcPr>
            <w:tcW w:w="6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BTC</w:t>
            </w:r>
          </w:p>
        </w:tc>
      </w:tr>
      <w:tr>
        <w:trPr>
          <w:trHeight w:val="245"/>
        </w:trPr>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January</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30"/>
        </w:trPr>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February</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298</w:t>
            </w:r>
          </w:p>
        </w:tc>
      </w:tr>
      <w:tr>
        <w:trPr>
          <w:trHeight w:val="229"/>
        </w:trPr>
        <w:tc>
          <w:tcPr>
            <w:tcW w:w="60" w:type="dxa"/>
            <w:vAlign w:val="bottom"/>
          </w:tcPr>
          <w:p>
            <w:pPr>
              <w:spacing w:after="0"/>
              <w:rPr>
                <w:sz w:val="19"/>
                <w:szCs w:val="19"/>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March</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363</w:t>
            </w:r>
          </w:p>
        </w:tc>
      </w:tr>
      <w:tr>
        <w:trPr>
          <w:trHeight w:val="230"/>
        </w:trPr>
        <w:tc>
          <w:tcPr>
            <w:tcW w:w="60" w:type="dxa"/>
            <w:vAlign w:val="bottom"/>
          </w:tcPr>
          <w:p>
            <w:pPr>
              <w:spacing w:after="0"/>
              <w:rPr>
                <w:sz w:val="19"/>
                <w:szCs w:val="19"/>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April</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405</w:t>
            </w:r>
          </w:p>
        </w:tc>
      </w:tr>
      <w:tr>
        <w:trPr>
          <w:trHeight w:val="229"/>
        </w:trPr>
        <w:tc>
          <w:tcPr>
            <w:tcW w:w="60" w:type="dxa"/>
            <w:vAlign w:val="bottom"/>
          </w:tcPr>
          <w:p>
            <w:pPr>
              <w:spacing w:after="0"/>
              <w:rPr>
                <w:sz w:val="19"/>
                <w:szCs w:val="19"/>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May</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431</w:t>
            </w:r>
          </w:p>
        </w:tc>
      </w:tr>
      <w:tr>
        <w:trPr>
          <w:trHeight w:val="229"/>
        </w:trPr>
        <w:tc>
          <w:tcPr>
            <w:tcW w:w="60" w:type="dxa"/>
            <w:vAlign w:val="bottom"/>
          </w:tcPr>
          <w:p>
            <w:pPr>
              <w:spacing w:after="0"/>
              <w:rPr>
                <w:sz w:val="19"/>
                <w:szCs w:val="19"/>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June</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420</w:t>
            </w:r>
          </w:p>
        </w:tc>
      </w:tr>
      <w:tr>
        <w:trPr>
          <w:trHeight w:val="230"/>
        </w:trPr>
        <w:tc>
          <w:tcPr>
            <w:tcW w:w="60" w:type="dxa"/>
            <w:vAlign w:val="bottom"/>
          </w:tcPr>
          <w:p>
            <w:pPr>
              <w:spacing w:after="0"/>
              <w:rPr>
                <w:sz w:val="19"/>
                <w:szCs w:val="19"/>
                <w:color w:val="auto"/>
              </w:rPr>
            </w:pPr>
          </w:p>
        </w:tc>
        <w:tc>
          <w:tcPr>
            <w:tcW w:w="10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July</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500</w:t>
            </w:r>
          </w:p>
        </w:tc>
      </w:tr>
      <w:tr>
        <w:trPr>
          <w:trHeight w:val="234"/>
        </w:trPr>
        <w:tc>
          <w:tcPr>
            <w:tcW w:w="60" w:type="dxa"/>
            <w:vAlign w:val="bottom"/>
          </w:tcPr>
          <w:p>
            <w:pPr>
              <w:spacing w:after="0"/>
              <w:rPr>
                <w:sz w:val="20"/>
                <w:szCs w:val="20"/>
                <w:color w:val="auto"/>
              </w:rPr>
            </w:pPr>
          </w:p>
        </w:tc>
        <w:tc>
          <w:tcPr>
            <w:tcW w:w="10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August</w:t>
            </w:r>
          </w:p>
        </w:tc>
        <w:tc>
          <w:tcPr>
            <w:tcW w:w="4980" w:type="dxa"/>
            <w:vAlign w:val="bottom"/>
            <w:gridSpan w:val="2"/>
          </w:tcPr>
          <w:p>
            <w:pPr>
              <w:jc w:val="center"/>
              <w:ind w:left="4510"/>
              <w:spacing w:after="0"/>
              <w:rPr>
                <w:sz w:val="20"/>
                <w:szCs w:val="20"/>
                <w:color w:val="auto"/>
              </w:rPr>
            </w:pPr>
            <w:r>
              <w:rPr>
                <w:rFonts w:ascii="Times New Roman" w:cs="Times New Roman" w:eastAsia="Times New Roman" w:hAnsi="Times New Roman"/>
                <w:sz w:val="18"/>
                <w:szCs w:val="18"/>
                <w:color w:val="auto"/>
                <w:w w:val="96"/>
              </w:rPr>
              <w:t>534</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Corporate Website</w:t>
      </w:r>
    </w:p>
    <w:p>
      <w:pPr>
        <w:spacing w:after="0" w:line="148" w:lineRule="exact"/>
        <w:rPr>
          <w:sz w:val="20"/>
          <w:szCs w:val="20"/>
          <w:color w:val="auto"/>
        </w:rPr>
      </w:pPr>
    </w:p>
    <w:p>
      <w:pPr>
        <w:ind w:left="20" w:right="200" w:hanging="9"/>
        <w:spacing w:after="0" w:line="282" w:lineRule="auto"/>
        <w:rPr>
          <w:sz w:val="20"/>
          <w:szCs w:val="20"/>
          <w:color w:val="auto"/>
        </w:rPr>
      </w:pPr>
      <w:r>
        <w:rPr>
          <w:rFonts w:ascii="Times New Roman" w:cs="Times New Roman" w:eastAsia="Times New Roman" w:hAnsi="Times New Roman"/>
          <w:sz w:val="18"/>
          <w:szCs w:val="18"/>
          <w:color w:val="auto"/>
        </w:rPr>
        <w:t>In August, Bitfarms launched a completely revamped corporate website. In addition to more user-friendly navigation and an appealing new look, the new site features detailed metrics about each production location, including capacity, number of miners, hashrate and watts per terahash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7123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61"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-559435</wp:posOffset>
            </wp:positionV>
            <wp:extent cx="7123430" cy="548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at the Bunker and in Argentina,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drawing>
          <wp:anchor simplePos="0" relativeHeight="251657728" behindDoc="1" locked="0" layoutInCell="0" allowOverlap="1">
            <wp:simplePos x="0" y="0"/>
            <wp:positionH relativeFrom="page">
              <wp:posOffset>208280</wp:posOffset>
            </wp:positionH>
            <wp:positionV relativeFrom="page">
              <wp:posOffset>380365</wp:posOffset>
            </wp:positionV>
            <wp:extent cx="2603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128905"/>
                    </a:xfrm>
                    <a:prstGeom prst="rect">
                      <a:avLst/>
                    </a:prstGeom>
                    <a:noFill/>
                  </pic:spPr>
                </pic:pic>
              </a:graphicData>
            </a:graphic>
          </wp:anchor>
        </w:drawing>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-134620</wp:posOffset>
            </wp:positionV>
            <wp:extent cx="3429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12890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Ryan Affaires Publiques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2022-09-01T15:06:50Z</dcterms:created>
  <dcterms:modified xsi:type="dcterms:W3CDTF">2022-09-01T15:06:50Z</dcterms:modified>
</cp:coreProperties>
</file>