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August,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40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This report on Form 6-K, including the interim condensed consolidated financial statements for the three and six months ended June 30, 2021 and management’s discussion and analysis for the three and six months ended June 30, 2021, shall be deemed to be incorporated by reference as exhibits to the Registration Statement of Bitfarms Ltd. on Form </w:t>
      </w:r>
      <w:hyperlink r:id="rId19">
        <w:r>
          <w:rPr>
            <w:rFonts w:ascii="Arial" w:cs="Arial" w:eastAsia="Arial" w:hAnsi="Arial"/>
            <w:sz w:val="18"/>
            <w:szCs w:val="18"/>
            <w:u w:val="single" w:color="auto"/>
            <w:color w:val="0000EE"/>
          </w:rPr>
          <w:t>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 and to be a part thereof from the date on which this report was furnished, to the extent not superseded by documents or reports subsequently filed or furnished.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66"/>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Condensed Consolidated Financial Statements for the three and six months ended June 30,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ind w:left="20"/>
              <w:spacing w:after="0" w:line="176"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5"/>
                <w:szCs w:val="15"/>
                <w:color w:val="auto"/>
              </w:rPr>
            </w:pPr>
          </w:p>
        </w:tc>
        <w:tc>
          <w:tcPr>
            <w:tcW w:w="10000" w:type="dxa"/>
            <w:vAlign w:val="bottom"/>
            <w:gridSpan w:val="5"/>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&amp; Analysis for the three and six months ended June 30, 2021</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5"/>
                <w:szCs w:val="15"/>
                <w:color w:val="auto"/>
              </w:rPr>
            </w:pPr>
          </w:p>
        </w:tc>
        <w:tc>
          <w:tcPr>
            <w:tcW w:w="1000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CEO Certification of Interim Filings Venture Issuer Basic Certificate dated August 16,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ind w:left="20"/>
              <w:spacing w:after="0" w:line="176" w:lineRule="exact"/>
              <w:rPr>
                <w:sz w:val="20"/>
                <w:szCs w:val="20"/>
                <w:color w:val="auto"/>
              </w:rPr>
            </w:pPr>
            <w:r>
              <w:rPr>
                <w:rFonts w:ascii="Arial" w:cs="Arial" w:eastAsia="Arial" w:hAnsi="Arial"/>
                <w:sz w:val="18"/>
                <w:szCs w:val="18"/>
                <w:color w:val="auto"/>
              </w:rPr>
              <w:t>99.4</w:t>
            </w:r>
          </w:p>
        </w:tc>
        <w:tc>
          <w:tcPr>
            <w:tcW w:w="100" w:type="dxa"/>
            <w:vAlign w:val="bottom"/>
          </w:tcPr>
          <w:p>
            <w:pPr>
              <w:spacing w:after="0"/>
              <w:rPr>
                <w:sz w:val="15"/>
                <w:szCs w:val="15"/>
                <w:color w:val="auto"/>
              </w:rPr>
            </w:pPr>
          </w:p>
        </w:tc>
        <w:tc>
          <w:tcPr>
            <w:tcW w:w="10000" w:type="dxa"/>
            <w:vAlign w:val="bottom"/>
            <w:gridSpan w:val="5"/>
          </w:tcPr>
          <w:p>
            <w:pPr>
              <w:ind w:left="2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CFO Certification of Interim Filings Venture Issuer Basic Certificate dated August 16, 2021</w:t>
              </w:r>
            </w:hyperlink>
          </w:p>
        </w:tc>
      </w:tr>
      <w:tr>
        <w:trPr>
          <w:trHeight w:val="703"/>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340" w:type="dxa"/>
            <w:vAlign w:val="bottom"/>
            <w:tcBorders>
              <w:top w:val="single" w:sz="8" w:color="0000EE"/>
              <w:bottom w:val="single" w:sz="8" w:color="auto"/>
            </w:tcBorders>
          </w:tcPr>
          <w:p>
            <w:pPr>
              <w:jc w:val="right"/>
              <w:ind w:right="1812"/>
              <w:spacing w:after="0"/>
              <w:rPr>
                <w:sz w:val="20"/>
                <w:szCs w:val="20"/>
                <w:color w:val="auto"/>
              </w:rPr>
            </w:pPr>
            <w:r>
              <w:rPr>
                <w:rFonts w:ascii="Arial" w:cs="Arial" w:eastAsia="Arial" w:hAnsi="Arial"/>
                <w:sz w:val="22"/>
                <w:szCs w:val="22"/>
                <w:color w:val="auto"/>
              </w:rPr>
              <w:t>1</w:t>
            </w:r>
          </w:p>
        </w:tc>
        <w:tc>
          <w:tcPr>
            <w:tcW w:w="280" w:type="dxa"/>
            <w:vAlign w:val="bottom"/>
            <w:tcBorders>
              <w:top w:val="single" w:sz="8" w:color="0000EE"/>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291465</wp:posOffset>
            </wp:positionV>
            <wp:extent cx="231457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2021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5560" w:type="dxa"/>
            <w:vAlign w:val="bottom"/>
            <w:gridSpan w:val="5"/>
          </w:tcPr>
          <w:p>
            <w:pPr>
              <w:ind w:left="220"/>
              <w:spacing w:after="0"/>
              <w:rPr>
                <w:sz w:val="20"/>
                <w:szCs w:val="20"/>
                <w:color w:val="auto"/>
              </w:rPr>
            </w:pPr>
            <w:r>
              <w:rPr>
                <w:rFonts w:ascii="Arial" w:cs="Arial" w:eastAsia="Arial" w:hAnsi="Arial"/>
                <w:sz w:val="18"/>
                <w:szCs w:val="18"/>
                <w:b w:val="1"/>
                <w:bCs w:val="1"/>
                <w:color w:val="auto"/>
              </w:rPr>
              <w:t>INDEX</w:t>
            </w:r>
          </w:p>
        </w:tc>
        <w:tc>
          <w:tcPr>
            <w:tcW w:w="11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12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Interim Condensed Consolidated Statements of Financial Position</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2</w:t>
            </w:r>
          </w:p>
        </w:tc>
        <w:tc>
          <w:tcPr>
            <w:tcW w:w="0" w:type="dxa"/>
            <w:vAlign w:val="bottom"/>
          </w:tcPr>
          <w:p>
            <w:pPr>
              <w:spacing w:after="0"/>
              <w:rPr>
                <w:sz w:val="1"/>
                <w:szCs w:val="1"/>
                <w:color w:val="auto"/>
              </w:rPr>
            </w:pPr>
          </w:p>
        </w:tc>
      </w:tr>
      <w:tr>
        <w:trPr>
          <w:trHeight w:val="20"/>
        </w:trPr>
        <w:tc>
          <w:tcPr>
            <w:tcW w:w="45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20" w:type="dxa"/>
            <w:vAlign w:val="bottom"/>
            <w:gridSpan w:val="6"/>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Interim Condensed Consolidated Statements of Profit or Loss and Comprehensive Profit or Loss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79"/>
              </w:rPr>
              <w:t>3</w:t>
            </w:r>
          </w:p>
        </w:tc>
        <w:tc>
          <w:tcPr>
            <w:tcW w:w="0" w:type="dxa"/>
            <w:vAlign w:val="bottom"/>
          </w:tcPr>
          <w:p>
            <w:pPr>
              <w:spacing w:after="0"/>
              <w:rPr>
                <w:sz w:val="1"/>
                <w:szCs w:val="1"/>
                <w:color w:val="auto"/>
              </w:rPr>
            </w:pPr>
          </w:p>
        </w:tc>
      </w:tr>
      <w:tr>
        <w:trPr>
          <w:trHeight w:val="20"/>
        </w:trPr>
        <w:tc>
          <w:tcPr>
            <w:tcW w:w="4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Interim Condensed Consolidated Statements of Changes in Equity</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4</w:t>
            </w:r>
          </w:p>
        </w:tc>
        <w:tc>
          <w:tcPr>
            <w:tcW w:w="0" w:type="dxa"/>
            <w:vAlign w:val="bottom"/>
          </w:tcPr>
          <w:p>
            <w:pPr>
              <w:spacing w:after="0"/>
              <w:rPr>
                <w:sz w:val="1"/>
                <w:szCs w:val="1"/>
                <w:color w:val="auto"/>
              </w:rPr>
            </w:pPr>
          </w:p>
        </w:tc>
      </w:tr>
      <w:tr>
        <w:trPr>
          <w:trHeight w:val="176"/>
        </w:trPr>
        <w:tc>
          <w:tcPr>
            <w:tcW w:w="5100" w:type="dxa"/>
            <w:vAlign w:val="bottom"/>
            <w:tcBorders>
              <w:top w:val="single" w:sz="8" w:color="0000EE"/>
            </w:tcBorders>
            <w:gridSpan w:val="4"/>
          </w:tcPr>
          <w:p>
            <w:pPr>
              <w:spacing w:after="0" w:line="176" w:lineRule="exact"/>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Interim Condensed Consolidated Statements of Cash Flows</w:t>
              </w:r>
            </w:hyperlink>
          </w:p>
        </w:tc>
        <w:tc>
          <w:tcPr>
            <w:tcW w:w="502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b w:val="1"/>
                <w:bCs w:val="1"/>
                <w:color w:val="auto"/>
                <w:w w:val="79"/>
              </w:rPr>
              <w:t>5</w:t>
            </w:r>
          </w:p>
        </w:tc>
        <w:tc>
          <w:tcPr>
            <w:tcW w:w="0" w:type="dxa"/>
            <w:vAlign w:val="bottom"/>
          </w:tcPr>
          <w:p>
            <w:pPr>
              <w:spacing w:after="0"/>
              <w:rPr>
                <w:sz w:val="1"/>
                <w:szCs w:val="1"/>
                <w:color w:val="auto"/>
              </w:rPr>
            </w:pPr>
          </w:p>
        </w:tc>
      </w:tr>
      <w:tr>
        <w:trPr>
          <w:trHeight w:val="21"/>
        </w:trPr>
        <w:tc>
          <w:tcPr>
            <w:tcW w:w="45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Interim Condensed Consolidated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8"/>
              </w:rPr>
              <w:t>6-24</w:t>
            </w:r>
          </w:p>
        </w:tc>
        <w:tc>
          <w:tcPr>
            <w:tcW w:w="0" w:type="dxa"/>
            <w:vAlign w:val="bottom"/>
          </w:tcPr>
          <w:p>
            <w:pPr>
              <w:spacing w:after="0"/>
              <w:rPr>
                <w:sz w:val="1"/>
                <w:szCs w:val="1"/>
                <w:color w:val="auto"/>
              </w:rPr>
            </w:pPr>
          </w:p>
        </w:tc>
      </w:tr>
      <w:tr>
        <w:trPr>
          <w:trHeight w:val="439"/>
        </w:trPr>
        <w:tc>
          <w:tcPr>
            <w:tcW w:w="45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tcPr>
          <w:p>
            <w:pPr>
              <w:spacing w:after="0"/>
              <w:rPr>
                <w:sz w:val="24"/>
                <w:szCs w:val="24"/>
                <w:color w:val="auto"/>
              </w:rPr>
            </w:pPr>
          </w:p>
        </w:tc>
        <w:tc>
          <w:tcPr>
            <w:tcW w:w="27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100"/>
        <w:spacing w:after="0" w:line="329" w:lineRule="auto"/>
        <w:rPr>
          <w:sz w:val="20"/>
          <w:szCs w:val="20"/>
          <w:color w:val="auto"/>
        </w:rPr>
      </w:pPr>
      <w:r>
        <w:rPr>
          <w:rFonts w:ascii="Arial" w:cs="Arial" w:eastAsia="Arial" w:hAnsi="Arial"/>
          <w:sz w:val="18"/>
          <w:szCs w:val="18"/>
          <w:b w:val="1"/>
          <w:bCs w:val="1"/>
          <w:color w:val="auto"/>
        </w:rPr>
        <w:t>UNAUDITED INTERIM CONDENSED CONSOLIDATED STATEMENTS OF FINANCIAL POSITION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June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Electrical component inventory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Embedded derivative</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NON-CURRENT 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4,498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deposits and equipment prepayments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74,491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10b</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NON-CURRENT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145,448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42,536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 AND EQUITY</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payables and accrued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9,194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28,477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Asset retirement provision</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30,296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202,725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Contributed surplus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(33,425)</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49"/>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200,928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124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231,224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51,704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88" w:right="339" w:bottom="1440" w:gutter="0" w:footer="0" w:header="0"/>
        </w:sectPr>
      </w:pPr>
    </w:p>
    <w:bookmarkStart w:id="5" w:name="page6"/>
    <w:bookmarkEnd w:id="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UNAUDITED INTERIM CONDENSED CONSOLIDATED STATEMENTS OF PROFIT OR LOSS AND COMPREHENSIVE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 thousands of U.S. dollars, except earnings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62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 15b</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36,687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65,119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16,584</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13,332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7,506</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22,452</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240" w:type="dxa"/>
            <w:vAlign w:val="bottom"/>
          </w:tcPr>
          <w:p>
            <w:pPr>
              <w:jc w:val="center"/>
              <w:spacing w:after="0" w:line="203" w:lineRule="exact"/>
              <w:rPr>
                <w:sz w:val="20"/>
                <w:szCs w:val="20"/>
                <w:color w:val="auto"/>
              </w:rPr>
            </w:pPr>
            <w:r>
              <w:rPr>
                <w:rFonts w:ascii="Arial" w:cs="Arial" w:eastAsia="Arial" w:hAnsi="Arial"/>
                <w:sz w:val="18"/>
                <w:szCs w:val="18"/>
                <w:color w:val="auto"/>
                <w:w w:val="86"/>
              </w:rPr>
              <w:t>14a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10,607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1,371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13,426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Loss on revaluation of digital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14,885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14,885</w:t>
            </w:r>
          </w:p>
        </w:tc>
        <w:tc>
          <w:tcPr>
            <w:tcW w:w="2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w w:val="98"/>
              </w:rPr>
              <w:t>Loss (gain) on disposition of property, plant and equipment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(165)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14b</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1,545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24,552</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 before income taxes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(3,071</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10b</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8"/>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(11,280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Revaluation loss on digital assets (net of tax)</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2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line="256" w:lineRule="exact"/>
              <w:rPr>
                <w:sz w:val="20"/>
                <w:szCs w:val="20"/>
                <w:color w:val="auto"/>
              </w:rPr>
            </w:pPr>
            <w:r>
              <w:rPr>
                <w:rFonts w:ascii="Arial" w:cs="Arial" w:eastAsia="Arial" w:hAnsi="Arial"/>
                <w:sz w:val="16"/>
                <w:szCs w:val="16"/>
                <w:color w:val="auto"/>
              </w:rPr>
              <w:t>(8,803</w:t>
            </w:r>
            <w:r>
              <w:rPr>
                <w:rFonts w:ascii="Arial" w:cs="Arial" w:eastAsia="Arial" w:hAnsi="Arial"/>
                <w:sz w:val="29"/>
                <w:szCs w:val="29"/>
                <w:color w:val="auto"/>
                <w:vertAlign w:val="superscript"/>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(3,730</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(11,280</w:t>
            </w:r>
            <w:r>
              <w:rPr>
                <w:rFonts w:ascii="Arial" w:cs="Arial" w:eastAsia="Arial" w:hAnsi="Arial"/>
                <w:sz w:val="29"/>
                <w:szCs w:val="29"/>
                <w:color w:val="auto"/>
                <w:vertAlign w:val="superscript"/>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(6,154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(in U.S. dollars):</w:t>
            </w:r>
          </w:p>
        </w:tc>
        <w:tc>
          <w:tcPr>
            <w:tcW w:w="12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9"/>
              </w:rPr>
              <w:t>14c</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24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(0.04)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(0.08)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number of shares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151,954,612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84,655,795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138,033,267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84,353,779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457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160"/>
        <w:spacing w:after="0" w:line="329" w:lineRule="auto"/>
        <w:rPr>
          <w:sz w:val="20"/>
          <w:szCs w:val="20"/>
          <w:color w:val="auto"/>
        </w:rPr>
      </w:pPr>
      <w:r>
        <w:rPr>
          <w:rFonts w:ascii="Arial" w:cs="Arial" w:eastAsia="Arial" w:hAnsi="Arial"/>
          <w:sz w:val="18"/>
          <w:szCs w:val="18"/>
          <w:b w:val="1"/>
          <w:bCs w:val="1"/>
          <w:color w:val="auto"/>
        </w:rPr>
        <w:t>UNAUDITED INTERIM CONDENSED CONSOLIDATED STATEMENTS OF CHANGES IN EQUITY (In thousands of U.S. dollars, except for quantity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Quantity of</w:t>
            </w:r>
          </w:p>
        </w:tc>
        <w:tc>
          <w:tcPr>
            <w:tcW w:w="2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Contributed</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surplus</w:t>
            </w:r>
          </w:p>
        </w:tc>
        <w:tc>
          <w:tcPr>
            <w:tcW w:w="20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88,939,359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32,004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(22,145)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(11,280)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 (Note 13)</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Issuance of common shares and warrants (Note 11)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40,188,892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84,898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26,781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111,679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long-term debt (Note 8)</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8,474,577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Exercise of warrants and stock options (Note 11)</w:t>
            </w:r>
          </w:p>
        </w:tc>
        <w:tc>
          <w:tcPr>
            <w:tcW w:w="1020" w:type="dxa"/>
            <w:vAlign w:val="bottom"/>
          </w:tcPr>
          <w:p>
            <w:pPr>
              <w:jc w:val="right"/>
              <w:spacing w:after="0"/>
              <w:rPr>
                <w:sz w:val="20"/>
                <w:szCs w:val="20"/>
                <w:color w:val="auto"/>
              </w:rPr>
            </w:pPr>
            <w:r>
              <w:rPr>
                <w:rFonts w:ascii="Arial" w:cs="Arial" w:eastAsia="Arial" w:hAnsi="Arial"/>
                <w:sz w:val="18"/>
                <w:szCs w:val="18"/>
                <w:color w:val="auto"/>
              </w:rPr>
              <w:t>24,480,524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(7,393)</w:t>
            </w:r>
          </w:p>
        </w:tc>
        <w:tc>
          <w:tcPr>
            <w:tcW w:w="20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73,320</w:t>
            </w:r>
          </w:p>
        </w:tc>
        <w:tc>
          <w:tcPr>
            <w:tcW w:w="0" w:type="dxa"/>
            <w:vAlign w:val="bottom"/>
          </w:tcPr>
          <w:p>
            <w:pPr>
              <w:spacing w:after="0"/>
              <w:rPr>
                <w:sz w:val="1"/>
                <w:szCs w:val="1"/>
                <w:color w:val="auto"/>
              </w:rPr>
            </w:pPr>
          </w:p>
        </w:tc>
      </w:tr>
      <w:tr>
        <w:trPr>
          <w:trHeight w:val="27"/>
        </w:trPr>
        <w:tc>
          <w:tcPr>
            <w:tcW w:w="4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gridSpan w:val="2"/>
            <w:vMerge w:val="continue"/>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162,083,352</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202,725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(33,425</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200,928</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83,620,630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(6,154)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84,720,630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4575"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840"/>
        <w:spacing w:after="0" w:line="329" w:lineRule="auto"/>
        <w:rPr>
          <w:sz w:val="20"/>
          <w:szCs w:val="20"/>
          <w:color w:val="auto"/>
        </w:rPr>
      </w:pPr>
      <w:r>
        <w:rPr>
          <w:rFonts w:ascii="Arial" w:cs="Arial" w:eastAsia="Arial" w:hAnsi="Arial"/>
          <w:sz w:val="18"/>
          <w:szCs w:val="18"/>
          <w:b w:val="1"/>
          <w:bCs w:val="1"/>
          <w:color w:val="auto"/>
        </w:rPr>
        <w:t>UNAUDITED INTERIM CONDENSED CONSOLIDATED STATEMENTS OF CASH FLOWS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37"/>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176"/>
        </w:trPr>
        <w:tc>
          <w:tcPr>
            <w:tcW w:w="73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7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(6,154)</w:t>
            </w: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Adjustments for: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5,730</w:t>
            </w:r>
          </w:p>
        </w:tc>
      </w:tr>
      <w:tr>
        <w:trPr>
          <w:trHeight w:val="216"/>
        </w:trPr>
        <w:tc>
          <w:tcPr>
            <w:tcW w:w="7320" w:type="dxa"/>
            <w:vAlign w:val="bottom"/>
            <w:gridSpan w:val="4"/>
          </w:tcPr>
          <w:p>
            <w:pPr>
              <w:ind w:left="120"/>
              <w:spacing w:after="0"/>
              <w:rPr>
                <w:sz w:val="20"/>
                <w:szCs w:val="20"/>
                <w:color w:val="auto"/>
              </w:rPr>
            </w:pPr>
            <w:r>
              <w:rPr>
                <w:rFonts w:ascii="Arial" w:cs="Arial" w:eastAsia="Arial" w:hAnsi="Arial"/>
                <w:sz w:val="18"/>
                <w:szCs w:val="18"/>
                <w:color w:val="auto"/>
              </w:rPr>
              <w:t>Net financial expenses</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14b</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24,552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2,567</w:t>
            </w:r>
          </w:p>
        </w:tc>
      </w:tr>
      <w:tr>
        <w:trPr>
          <w:trHeight w:val="216"/>
        </w:trPr>
        <w:tc>
          <w:tcPr>
            <w:tcW w:w="73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Digital assets mined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(62,542)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(15,744)</w:t>
            </w:r>
          </w:p>
        </w:tc>
      </w:tr>
      <w:tr>
        <w:trPr>
          <w:trHeight w:val="216"/>
        </w:trPr>
        <w:tc>
          <w:tcPr>
            <w:tcW w:w="7320" w:type="dxa"/>
            <w:vAlign w:val="bottom"/>
            <w:gridSpan w:val="4"/>
          </w:tcPr>
          <w:p>
            <w:pPr>
              <w:ind w:left="120"/>
              <w:spacing w:after="0"/>
              <w:rPr>
                <w:sz w:val="20"/>
                <w:szCs w:val="20"/>
                <w:color w:val="auto"/>
              </w:rPr>
            </w:pPr>
            <w:r>
              <w:rPr>
                <w:rFonts w:ascii="Arial" w:cs="Arial" w:eastAsia="Arial" w:hAnsi="Arial"/>
                <w:sz w:val="18"/>
                <w:szCs w:val="18"/>
                <w:color w:val="auto"/>
              </w:rPr>
              <w:t>Digital assets liquidated</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2,353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15,767</w:t>
            </w:r>
          </w:p>
        </w:tc>
      </w:tr>
      <w:tr>
        <w:trPr>
          <w:trHeight w:val="216"/>
        </w:trPr>
        <w:tc>
          <w:tcPr>
            <w:tcW w:w="73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Gain on disposition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320" w:type="dxa"/>
            <w:vAlign w:val="bottom"/>
            <w:gridSpan w:val="4"/>
          </w:tcPr>
          <w:p>
            <w:pPr>
              <w:ind w:left="120"/>
              <w:spacing w:after="0"/>
              <w:rPr>
                <w:sz w:val="20"/>
                <w:szCs w:val="20"/>
                <w:color w:val="auto"/>
              </w:rPr>
            </w:pPr>
            <w:r>
              <w:rPr>
                <w:rFonts w:ascii="Arial" w:cs="Arial" w:eastAsia="Arial" w:hAnsi="Arial"/>
                <w:sz w:val="18"/>
                <w:szCs w:val="18"/>
                <w:color w:val="auto"/>
              </w:rPr>
              <w:t>Loss on revaluation of digital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14,885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Share-based payment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1,264</w:t>
            </w:r>
          </w:p>
        </w:tc>
      </w:tr>
      <w:tr>
        <w:trPr>
          <w:trHeight w:val="216"/>
        </w:trPr>
        <w:tc>
          <w:tcPr>
            <w:tcW w:w="7320" w:type="dxa"/>
            <w:vAlign w:val="bottom"/>
            <w:gridSpan w:val="4"/>
          </w:tcPr>
          <w:p>
            <w:pPr>
              <w:ind w:left="120"/>
              <w:spacing w:after="0"/>
              <w:rPr>
                <w:sz w:val="20"/>
                <w:szCs w:val="20"/>
                <w:color w:val="auto"/>
              </w:rPr>
            </w:pPr>
            <w:r>
              <w:rPr>
                <w:rFonts w:ascii="Arial" w:cs="Arial" w:eastAsia="Arial" w:hAnsi="Arial"/>
                <w:sz w:val="18"/>
                <w:szCs w:val="18"/>
                <w:color w:val="auto"/>
              </w:rPr>
              <w:t>Interest and financial expenses paid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(1,547)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(2,096)</w:t>
            </w:r>
          </w:p>
        </w:tc>
      </w:tr>
      <w:tr>
        <w:trPr>
          <w:trHeight w:val="216"/>
        </w:trPr>
        <w:tc>
          <w:tcPr>
            <w:tcW w:w="73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Deferred taxes, net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10b</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gridSpan w:val="4"/>
          </w:tcPr>
          <w:p>
            <w:pPr>
              <w:ind w:left="120"/>
              <w:spacing w:after="0"/>
              <w:rPr>
                <w:sz w:val="20"/>
                <w:szCs w:val="20"/>
                <w:color w:val="auto"/>
              </w:rPr>
            </w:pPr>
            <w:r>
              <w:rPr>
                <w:rFonts w:ascii="Arial" w:cs="Arial" w:eastAsia="Arial" w:hAnsi="Arial"/>
                <w:sz w:val="18"/>
                <w:szCs w:val="18"/>
                <w:color w:val="auto"/>
              </w:rPr>
              <w:t>Loss (gain) on disposal of property, plant and equipment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708</w:t>
            </w:r>
          </w:p>
        </w:tc>
      </w:tr>
      <w:tr>
        <w:trPr>
          <w:trHeight w:val="216"/>
        </w:trPr>
        <w:tc>
          <w:tcPr>
            <w:tcW w:w="2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gridSpan w:val="4"/>
          </w:tcPr>
          <w:p>
            <w:pPr>
              <w:spacing w:after="0"/>
              <w:rPr>
                <w:sz w:val="20"/>
                <w:szCs w:val="20"/>
                <w:color w:val="auto"/>
              </w:rPr>
            </w:pPr>
            <w:r>
              <w:rPr>
                <w:rFonts w:ascii="Arial" w:cs="Arial" w:eastAsia="Arial" w:hAnsi="Arial"/>
                <w:sz w:val="18"/>
                <w:szCs w:val="18"/>
                <w:color w:val="auto"/>
              </w:rPr>
              <w:t>Changes in non-cash working capital components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2,297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429</w:t>
            </w:r>
          </w:p>
        </w:tc>
      </w:tr>
      <w:tr>
        <w:trPr>
          <w:trHeight w:val="223"/>
        </w:trPr>
        <w:tc>
          <w:tcPr>
            <w:tcW w:w="7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related to operating activities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7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Purchase of property, plant and equipment and intangible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(28,806)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(3,216)</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602</w:t>
            </w:r>
          </w:p>
        </w:tc>
      </w:tr>
      <w:tr>
        <w:trPr>
          <w:trHeight w:val="237"/>
        </w:trPr>
        <w:tc>
          <w:tcPr>
            <w:tcW w:w="7320" w:type="dxa"/>
            <w:vAlign w:val="bottom"/>
            <w:gridSpan w:val="4"/>
          </w:tcPr>
          <w:p>
            <w:pPr>
              <w:spacing w:after="0"/>
              <w:rPr>
                <w:sz w:val="20"/>
                <w:szCs w:val="20"/>
                <w:color w:val="auto"/>
              </w:rPr>
            </w:pPr>
            <w:r>
              <w:rPr>
                <w:rFonts w:ascii="Arial" w:cs="Arial" w:eastAsia="Arial" w:hAnsi="Arial"/>
                <w:sz w:val="18"/>
                <w:szCs w:val="18"/>
                <w:color w:val="auto"/>
              </w:rPr>
              <w:t>Equipment prepayments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(73,373)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related to investing activities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8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9"/>
              </w:rPr>
              <w:t>Cash flows from financing activities:</w:t>
            </w:r>
          </w:p>
        </w:tc>
        <w:tc>
          <w:tcPr>
            <w:tcW w:w="4500" w:type="dxa"/>
            <w:vAlign w:val="bottom"/>
            <w:tcBorders>
              <w:bottom w:val="single" w:sz="8" w:color="CCEEFF"/>
            </w:tcBorders>
            <w:gridSpan w:val="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Issuance of common shares and warrants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114,488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Exercise of warrants and stock options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43,545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200</w:t>
            </w: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Repayment of lease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(2,427)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(15,191)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7"/>
        </w:trPr>
        <w:tc>
          <w:tcPr>
            <w:tcW w:w="7320" w:type="dxa"/>
            <w:vAlign w:val="bottom"/>
            <w:gridSpan w:val="4"/>
          </w:tcPr>
          <w:p>
            <w:pPr>
              <w:spacing w:after="0"/>
              <w:rPr>
                <w:sz w:val="20"/>
                <w:szCs w:val="20"/>
                <w:color w:val="auto"/>
              </w:rPr>
            </w:pPr>
            <w:r>
              <w:rPr>
                <w:rFonts w:ascii="Arial" w:cs="Arial" w:eastAsia="Arial" w:hAnsi="Arial"/>
                <w:sz w:val="18"/>
                <w:szCs w:val="18"/>
                <w:color w:val="auto"/>
              </w:rPr>
              <w:t>Proceeds from long-term debt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9,277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7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cash related to financing activities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20" w:type="dxa"/>
            <w:vAlign w:val="bottom"/>
            <w:tcBorders>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Exchange rate differences on currency translation</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r>
      <w:tr>
        <w:trPr>
          <w:trHeight w:val="237"/>
        </w:trPr>
        <w:tc>
          <w:tcPr>
            <w:tcW w:w="7320" w:type="dxa"/>
            <w:vAlign w:val="bottom"/>
            <w:gridSpan w:val="4"/>
          </w:tcPr>
          <w:p>
            <w:pPr>
              <w:spacing w:after="0"/>
              <w:rPr>
                <w:sz w:val="20"/>
                <w:szCs w:val="20"/>
                <w:color w:val="auto"/>
              </w:rPr>
            </w:pPr>
            <w:r>
              <w:rPr>
                <w:rFonts w:ascii="Arial" w:cs="Arial" w:eastAsia="Arial" w:hAnsi="Arial"/>
                <w:sz w:val="18"/>
                <w:szCs w:val="18"/>
                <w:color w:val="auto"/>
              </w:rPr>
              <w:t>Cash at the beginning of the period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5,947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2,159</w:t>
            </w:r>
          </w:p>
        </w:tc>
      </w:tr>
      <w:tr>
        <w:trPr>
          <w:trHeight w:val="223"/>
        </w:trPr>
        <w:tc>
          <w:tcPr>
            <w:tcW w:w="7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at the end of the period</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4575"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BASIS OF PRESENTATION AND LIQUIDITY</w:t>
      </w:r>
    </w:p>
    <w:p>
      <w:pPr>
        <w:spacing w:after="0" w:line="229" w:lineRule="exact"/>
        <w:rPr>
          <w:sz w:val="20"/>
          <w:szCs w:val="20"/>
          <w:color w:val="auto"/>
        </w:rPr>
      </w:pPr>
    </w:p>
    <w:p>
      <w:pPr>
        <w:jc w:val="both"/>
        <w:ind w:left="640" w:right="20" w:hanging="632"/>
        <w:spacing w:after="0" w:line="279"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Bitfarms was incorporated under the Canada Business Corporation Act on October 11, 2018. The interim condensed financial statements of the corporation as at June 30, 2021 and 2020 comprise the accounts of Bitfarms Ltd. and its wholly owned subsidiaries (together referred to as the “Company” or “Bitfarms”). The activities of the Company are divided into two reportable segments: the cryptocurrency mining segment (referred to as “Backbone”) and the electrical services segment (referred to as “Volta”), as described in Note 15 “Reportable segments”.</w:t>
      </w:r>
    </w:p>
    <w:p>
      <w:pPr>
        <w:spacing w:after="0" w:line="171" w:lineRule="exact"/>
        <w:rPr>
          <w:rFonts w:ascii="Arial" w:cs="Arial" w:eastAsia="Arial" w:hAnsi="Arial"/>
          <w:sz w:val="17"/>
          <w:szCs w:val="17"/>
          <w:color w:val="auto"/>
        </w:rPr>
      </w:pPr>
    </w:p>
    <w:p>
      <w:pPr>
        <w:jc w:val="both"/>
        <w:ind w:left="640" w:right="20"/>
        <w:spacing w:after="0" w:line="257" w:lineRule="auto"/>
        <w:rPr>
          <w:rFonts w:ascii="Arial" w:cs="Arial" w:eastAsia="Arial" w:hAnsi="Arial"/>
          <w:sz w:val="17"/>
          <w:szCs w:val="17"/>
          <w:color w:val="auto"/>
        </w:rPr>
      </w:pPr>
      <w:r>
        <w:rPr>
          <w:rFonts w:ascii="Arial" w:cs="Arial" w:eastAsia="Arial" w:hAnsi="Arial"/>
          <w:sz w:val="18"/>
          <w:szCs w:val="18"/>
          <w:color w:val="auto"/>
        </w:rPr>
        <w:t>Bitfarms is primarily engaged in the cryptocurrency mining industry, a highly volatile market with significant inherent risk. A significant decline in the market prices of cryptocurrencies, an increase in the difficulty of cryptocurrency mining, changes in the regulatory environment and adverse changes in other inherent risks can significantly and negatively impact the Company’s operations. In addition, adverse changes to the factors mentioned above may impact the recoverability of the Company’s digital assets and property, plant and equipment resulting in impairment charges being recorded.</w:t>
      </w:r>
    </w:p>
    <w:p>
      <w:pPr>
        <w:spacing w:after="0" w:line="18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 common shares of the Company are listed under the trading symbol BITF on Nasdaq and on the TSX Venture Exchange.</w:t>
      </w:r>
    </w:p>
    <w:p>
      <w:pPr>
        <w:spacing w:after="0" w:line="225" w:lineRule="exact"/>
        <w:rPr>
          <w:rFonts w:ascii="Arial" w:cs="Arial" w:eastAsia="Arial" w:hAnsi="Arial"/>
          <w:sz w:val="17"/>
          <w:szCs w:val="17"/>
          <w:color w:val="auto"/>
        </w:rPr>
      </w:pPr>
    </w:p>
    <w:p>
      <w:pPr>
        <w:jc w:val="both"/>
        <w:ind w:left="640" w:right="20" w:hanging="632"/>
        <w:spacing w:after="0" w:line="263"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interim condensed consolidated financial statements have been prepared in accordance with International Financial Reporting Standards ("IFRS") as issued by the International Accounting Standards Board applicable to the preparation of interim financial statements, including IAS 34.</w:t>
      </w:r>
    </w:p>
    <w:p>
      <w:pPr>
        <w:spacing w:after="0" w:line="183" w:lineRule="exact"/>
        <w:rPr>
          <w:rFonts w:ascii="Arial" w:cs="Arial" w:eastAsia="Arial" w:hAnsi="Arial"/>
          <w:sz w:val="18"/>
          <w:szCs w:val="18"/>
          <w:color w:val="auto"/>
        </w:rPr>
      </w:pPr>
    </w:p>
    <w:p>
      <w:pPr>
        <w:jc w:val="both"/>
        <w:ind w:left="640" w:right="20"/>
        <w:spacing w:after="0" w:line="311" w:lineRule="auto"/>
        <w:rPr>
          <w:rFonts w:ascii="Arial" w:cs="Arial" w:eastAsia="Arial" w:hAnsi="Arial"/>
          <w:sz w:val="18"/>
          <w:szCs w:val="18"/>
          <w:color w:val="auto"/>
        </w:rPr>
      </w:pPr>
      <w:r>
        <w:rPr>
          <w:rFonts w:ascii="Arial" w:cs="Arial" w:eastAsia="Arial" w:hAnsi="Arial"/>
          <w:sz w:val="16"/>
          <w:szCs w:val="16"/>
          <w:color w:val="auto"/>
        </w:rPr>
        <w:t>These interim condensed consolidated financial statements do not include all of the information required for full annual financial statements and should be read in conjunction with the audited annual consolidated financial statements of the Company and the notes thereto for the year ended on December 31, 2020. These interim condensed consolidated financial statements were approved by the Board of Directors on August 16, 2021.</w:t>
      </w:r>
    </w:p>
    <w:p>
      <w:pPr>
        <w:spacing w:after="0" w:line="148" w:lineRule="exact"/>
        <w:rPr>
          <w:rFonts w:ascii="Arial" w:cs="Arial" w:eastAsia="Arial" w:hAnsi="Arial"/>
          <w:sz w:val="18"/>
          <w:szCs w:val="18"/>
          <w:color w:val="auto"/>
        </w:rPr>
      </w:pPr>
    </w:p>
    <w:p>
      <w:pPr>
        <w:jc w:val="both"/>
        <w:ind w:left="640" w:hanging="632"/>
        <w:spacing w:after="0" w:line="272"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March 2020, the World Health Organization declared COVID-19 a pandemic. The potential impacts that COVID-19 may have on the Backbone operating segment include increases in cryptocurrency price volatility and delays in receiving future orders of mining hardware and construction materials required to achieve the Company’s growth objectives. The Backbone operating segment has been, and is expected to, continue to be operating throughout the pandemic. Volta’s services are considered to be essential by government authorities and have been, and are expected to continue, operating throughout the pandemic. No significant impact of COVID-19 has been observed on Backbone or Volta’s existing operations for the six months ended June 30, 2021; however; the Company has observed longer than usual lead times in procuring construction materials required for the Company’s infrastructure buildout.</w:t>
      </w:r>
    </w:p>
    <w:p>
      <w:pPr>
        <w:spacing w:after="0" w:line="177"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It is not possible to reliably estimate the length and severity of these developments as well as their impact on the financial results and condition of the Company and its operating subsidiaries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651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68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left="20"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REPORTING ENTITY, BASIS OF PRESENTATION AND LIQUIDITY (Cont.)</w:t>
      </w:r>
    </w:p>
    <w:p>
      <w:pPr>
        <w:spacing w:after="0" w:line="229"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these financial statements, the following terms shall have the following definitions: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Backbone</w:t>
            </w:r>
          </w:p>
        </w:tc>
        <w:tc>
          <w:tcPr>
            <w:tcW w:w="718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960" w:type="dxa"/>
            <w:vAlign w:val="bottom"/>
          </w:tcPr>
          <w:p>
            <w:pPr>
              <w:jc w:val="right"/>
              <w:ind w:right="410"/>
              <w:spacing w:after="0"/>
              <w:rPr>
                <w:sz w:val="20"/>
                <w:szCs w:val="20"/>
                <w:color w:val="auto"/>
              </w:rPr>
            </w:pPr>
            <w:r>
              <w:rPr>
                <w:rFonts w:ascii="Arial" w:cs="Arial" w:eastAsia="Arial" w:hAnsi="Arial"/>
                <w:sz w:val="18"/>
                <w:szCs w:val="18"/>
                <w:color w:val="auto"/>
              </w:rPr>
              <w:t>2.</w:t>
            </w:r>
          </w:p>
        </w:tc>
        <w:tc>
          <w:tcPr>
            <w:tcW w:w="3100" w:type="dxa"/>
            <w:vAlign w:val="bottom"/>
          </w:tcPr>
          <w:p>
            <w:pPr>
              <w:ind w:left="500"/>
              <w:spacing w:after="0"/>
              <w:rPr>
                <w:sz w:val="20"/>
                <w:szCs w:val="20"/>
                <w:color w:val="auto"/>
              </w:rPr>
            </w:pPr>
            <w:r>
              <w:rPr>
                <w:rFonts w:ascii="Arial" w:cs="Arial" w:eastAsia="Arial" w:hAnsi="Arial"/>
                <w:sz w:val="18"/>
                <w:szCs w:val="18"/>
                <w:color w:val="auto"/>
              </w:rPr>
              <w:t>Volta</w:t>
            </w:r>
          </w:p>
        </w:tc>
        <w:tc>
          <w:tcPr>
            <w:tcW w:w="7180" w:type="dxa"/>
            <w:vAlign w:val="bottom"/>
          </w:tcPr>
          <w:p>
            <w:pPr>
              <w:ind w:left="1880"/>
              <w:spacing w:after="0"/>
              <w:rPr>
                <w:sz w:val="20"/>
                <w:szCs w:val="20"/>
                <w:color w:val="auto"/>
              </w:rPr>
            </w:pPr>
            <w:r>
              <w:rPr>
                <w:rFonts w:ascii="Arial" w:cs="Arial" w:eastAsia="Arial" w:hAnsi="Arial"/>
                <w:sz w:val="18"/>
                <w:szCs w:val="18"/>
                <w:color w:val="auto"/>
              </w:rPr>
              <w:t>9159-9290 Quebec Inc.</w:t>
            </w:r>
          </w:p>
        </w:tc>
      </w:tr>
      <w:tr>
        <w:trPr>
          <w:trHeight w:val="216"/>
        </w:trPr>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BTC</w:t>
            </w:r>
          </w:p>
        </w:tc>
        <w:tc>
          <w:tcPr>
            <w:tcW w:w="718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Bitcoin</w:t>
            </w:r>
          </w:p>
        </w:tc>
      </w:tr>
      <w:tr>
        <w:trPr>
          <w:trHeight w:val="216"/>
        </w:trPr>
        <w:tc>
          <w:tcPr>
            <w:tcW w:w="960" w:type="dxa"/>
            <w:vAlign w:val="bottom"/>
          </w:tcPr>
          <w:p>
            <w:pPr>
              <w:jc w:val="right"/>
              <w:ind w:right="410"/>
              <w:spacing w:after="0"/>
              <w:rPr>
                <w:sz w:val="20"/>
                <w:szCs w:val="20"/>
                <w:color w:val="auto"/>
              </w:rPr>
            </w:pPr>
            <w:r>
              <w:rPr>
                <w:rFonts w:ascii="Arial" w:cs="Arial" w:eastAsia="Arial" w:hAnsi="Arial"/>
                <w:sz w:val="18"/>
                <w:szCs w:val="18"/>
                <w:color w:val="auto"/>
              </w:rPr>
              <w:t>4.</w:t>
            </w:r>
          </w:p>
        </w:tc>
        <w:tc>
          <w:tcPr>
            <w:tcW w:w="3100" w:type="dxa"/>
            <w:vAlign w:val="bottom"/>
          </w:tcPr>
          <w:p>
            <w:pPr>
              <w:ind w:left="500"/>
              <w:spacing w:after="0"/>
              <w:rPr>
                <w:sz w:val="20"/>
                <w:szCs w:val="20"/>
                <w:color w:val="auto"/>
              </w:rPr>
            </w:pPr>
            <w:r>
              <w:rPr>
                <w:rFonts w:ascii="Arial" w:cs="Arial" w:eastAsia="Arial" w:hAnsi="Arial"/>
                <w:sz w:val="18"/>
                <w:szCs w:val="18"/>
                <w:color w:val="auto"/>
              </w:rPr>
              <w:t>BVVE</w:t>
            </w:r>
          </w:p>
        </w:tc>
        <w:tc>
          <w:tcPr>
            <w:tcW w:w="7180" w:type="dxa"/>
            <w:vAlign w:val="bottom"/>
          </w:tcPr>
          <w:p>
            <w:pPr>
              <w:ind w:left="1880"/>
              <w:spacing w:after="0"/>
              <w:rPr>
                <w:sz w:val="20"/>
                <w:szCs w:val="20"/>
                <w:color w:val="auto"/>
              </w:rPr>
            </w:pPr>
            <w:r>
              <w:rPr>
                <w:rFonts w:ascii="Arial" w:cs="Arial" w:eastAsia="Arial" w:hAnsi="Arial"/>
                <w:sz w:val="18"/>
                <w:szCs w:val="18"/>
                <w:color w:val="auto"/>
              </w:rPr>
              <w:t>Blockchain Verification and Validation Equipment</w:t>
            </w:r>
          </w:p>
        </w:tc>
      </w:tr>
      <w:tr>
        <w:trPr>
          <w:trHeight w:val="216"/>
        </w:trPr>
        <w:tc>
          <w:tcPr>
            <w:tcW w:w="9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w:t>
            </w:r>
          </w:p>
        </w:tc>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CAD</w:t>
            </w:r>
          </w:p>
        </w:tc>
        <w:tc>
          <w:tcPr>
            <w:tcW w:w="718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Canadian Dollars</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interim condensed consolidated financial statements have been prepared following the same accounting policies used in the audited annual consolidated financial statements for the year ended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have been applied consistently by the Company’s entities and to all periods presented in these interim condensed consolidated financial statements, unless otherwise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3: OTHER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taxes receivable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1,800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3,029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651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8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Bitcoin transactions and the corresponding values for the three and six months ended June 30, 2021 and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April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mined*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35,352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Bitcoin exchanged for cash and services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exchanged for long-term debt repayment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Bitcoin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Revaluation of digital assets**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(21,862)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89"/>
              </w:rPr>
              <w:t>Six months ended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50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b w:val="1"/>
                <w:bCs w:val="1"/>
                <w:color w:val="auto"/>
                <w:w w:val="99"/>
              </w:rPr>
              <w:t>2021</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Quantity</w:t>
            </w:r>
          </w:p>
        </w:tc>
        <w:tc>
          <w:tcPr>
            <w:tcW w:w="1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mined*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1,357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62,542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1,902</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15,744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Bitcoin exchanged for cash and services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exchanged for long-term debt repayment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Bitcoin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Prior period accounting policy change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digital assets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June 30,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45,329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estimates the fair value of Bitcoin mined on a daily basis as the quantity of cryptocurrency received multiplied by the price quoted on www.coinmarketcap.com (“Coinmarketcap”) on the day it was received. Management considers the prices quoted on Coinmarketcap to be a level 2 input under IFRS 13 Fair Value Measurement</w:t>
      </w:r>
    </w:p>
    <w:p>
      <w:pPr>
        <w:spacing w:after="0" w:line="184"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on revaluation of digital assets for the three months ended June 30, 2021, is presented in other comprehensive income, net of $1,849 of deferred income tax as described in Note 10b, to the extent that it reverses previously recorded gains on revaluation of digital assets that were recorded in other comprehensive income, totaling $5,128, net of deferred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314575"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PROPERTY, PLANT AND EQUIPMENT</w:t>
      </w:r>
    </w:p>
    <w:p>
      <w:pPr>
        <w:spacing w:after="0" w:line="229"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at June 30, 2021, and December 31, 2020, property, plant and equipment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BVVE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electrical</w:t>
            </w: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Mineral</w:t>
            </w: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Land and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Leasehold</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40" w:type="dxa"/>
            <w:vAlign w:val="bottom"/>
          </w:tcPr>
          <w:p>
            <w:pPr>
              <w:spacing w:after="0"/>
              <w:rPr>
                <w:sz w:val="20"/>
                <w:szCs w:val="20"/>
                <w:color w:val="auto"/>
              </w:rPr>
            </w:pPr>
          </w:p>
        </w:tc>
        <w:tc>
          <w:tcPr>
            <w:tcW w:w="2280" w:type="dxa"/>
            <w:vAlign w:val="bottom"/>
            <w:gridSpan w:val="4"/>
          </w:tcPr>
          <w:p>
            <w:pPr>
              <w:ind w:left="1220"/>
              <w:spacing w:after="0"/>
              <w:rPr>
                <w:sz w:val="20"/>
                <w:szCs w:val="20"/>
                <w:color w:val="auto"/>
              </w:rPr>
            </w:pPr>
            <w:r>
              <w:rPr>
                <w:rFonts w:ascii="Arial" w:cs="Arial" w:eastAsia="Arial" w:hAnsi="Arial"/>
                <w:sz w:val="18"/>
                <w:szCs w:val="18"/>
                <w:b w:val="1"/>
                <w:bCs w:val="1"/>
                <w:color w:val="auto"/>
                <w:w w:val="97"/>
              </w:rPr>
              <w:t>components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2"/>
              </w:rPr>
              <w:t>assets</w:t>
            </w: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buildings</w:t>
            </w: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improvements</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Vehicles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36,588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June 30, 2021</w:t>
            </w:r>
          </w:p>
        </w:tc>
        <w:tc>
          <w:tcPr>
            <w:tcW w:w="1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89,213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3,388</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105,229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December 31, 2020</w:t>
            </w:r>
          </w:p>
        </w:tc>
        <w:tc>
          <w:tcPr>
            <w:tcW w:w="1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52,676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2,707</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68,094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Balance as of January 1, 2021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30,042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1,861</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Arial" w:cs="Arial" w:eastAsia="Arial" w:hAnsi="Arial"/>
                <w:sz w:val="18"/>
                <w:szCs w:val="18"/>
                <w:b w:val="1"/>
                <w:bCs w:val="1"/>
                <w:color w:val="auto"/>
              </w:rPr>
              <w:t>Balance as of January 1, 2020</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28,976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1,641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jc w:val="right"/>
              <w:spacing w:after="0" w:line="203" w:lineRule="exact"/>
              <w:rPr>
                <w:sz w:val="20"/>
                <w:szCs w:val="20"/>
                <w:color w:val="auto"/>
              </w:rPr>
            </w:pPr>
            <w:r>
              <w:rPr>
                <w:rFonts w:ascii="Arial" w:cs="Arial" w:eastAsia="Arial" w:hAnsi="Arial"/>
                <w:sz w:val="18"/>
                <w:szCs w:val="18"/>
                <w:color w:val="auto"/>
              </w:rPr>
              <w:t>152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30,870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36"/>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Arial" w:cs="Arial" w:eastAsia="Arial" w:hAnsi="Arial"/>
                <w:sz w:val="18"/>
                <w:szCs w:val="18"/>
                <w:color w:val="auto"/>
              </w:rPr>
              <w:t>Net book value as of</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June 30, 2021</w:t>
            </w: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9,000</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3,156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1,218</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65,693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7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December 31, 2020</w:t>
            </w: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details of the quantity and models of BVVE held by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Bitmain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Canaan</w:t>
            </w:r>
          </w:p>
        </w:tc>
        <w:tc>
          <w:tcPr>
            <w:tcW w:w="120" w:type="dxa"/>
            <w:vAlign w:val="bottom"/>
          </w:tcPr>
          <w:p>
            <w:pPr>
              <w:spacing w:after="0"/>
              <w:rPr>
                <w:sz w:val="18"/>
                <w:szCs w:val="18"/>
                <w:color w:val="auto"/>
              </w:rPr>
            </w:pPr>
          </w:p>
        </w:tc>
        <w:tc>
          <w:tcPr>
            <w:tcW w:w="10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7"/>
              </w:rPr>
              <w:t>MicroBT</w:t>
            </w:r>
          </w:p>
        </w:tc>
      </w:tr>
      <w:tr>
        <w:trPr>
          <w:trHeight w:val="216"/>
        </w:trPr>
        <w:tc>
          <w:tcPr>
            <w:tcW w:w="61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Antminer</w:t>
            </w:r>
          </w:p>
        </w:tc>
        <w:tc>
          <w:tcPr>
            <w:tcW w:w="12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Bitmain</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Innosilicon</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Avalon</w:t>
            </w:r>
          </w:p>
        </w:tc>
        <w:tc>
          <w:tcPr>
            <w:tcW w:w="11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Whatsminer</w:t>
            </w:r>
          </w:p>
        </w:tc>
      </w:tr>
      <w:tr>
        <w:trPr>
          <w:trHeight w:val="216"/>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S9</w:t>
            </w:r>
          </w:p>
        </w:tc>
        <w:tc>
          <w:tcPr>
            <w:tcW w:w="11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Antminers</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rPr>
              <w:t>T3 &amp; T2T</w:t>
            </w: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(BTC)</w:t>
            </w:r>
          </w:p>
        </w:tc>
      </w:tr>
      <w:tr>
        <w:trPr>
          <w:trHeight w:val="268"/>
        </w:trPr>
        <w:tc>
          <w:tcPr>
            <w:tcW w:w="6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20" w:type="dxa"/>
            <w:vAlign w:val="bottom"/>
          </w:tcPr>
          <w:p>
            <w:pPr>
              <w:spacing w:after="0"/>
              <w:rPr>
                <w:sz w:val="23"/>
                <w:szCs w:val="23"/>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(BTC) *</w:t>
            </w: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(BTC) **</w:t>
            </w:r>
          </w:p>
        </w:tc>
        <w:tc>
          <w:tcPr>
            <w:tcW w:w="120" w:type="dxa"/>
            <w:vAlign w:val="bottom"/>
          </w:tcPr>
          <w:p>
            <w:pPr>
              <w:spacing w:after="0"/>
              <w:rPr>
                <w:sz w:val="23"/>
                <w:szCs w:val="2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0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Quantity as of January 1, 2021</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7,961</w:t>
            </w:r>
          </w:p>
        </w:tc>
        <w:tc>
          <w:tcPr>
            <w:tcW w:w="80" w:type="dxa"/>
            <w:vAlign w:val="bottom"/>
          </w:tcPr>
          <w:p>
            <w:pPr>
              <w:spacing w:after="0"/>
              <w:rPr>
                <w:sz w:val="18"/>
                <w:szCs w:val="18"/>
                <w:color w:val="auto"/>
              </w:rPr>
            </w:pPr>
          </w:p>
        </w:tc>
      </w:tr>
      <w:tr>
        <w:trPr>
          <w:trHeight w:val="24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61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Quantity as of June 30, 2021</w:t>
            </w: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9,497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1,733</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6,446</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ind w:right="7100" w:firstLine="8"/>
        <w:spacing w:after="0" w:line="500"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1,334 Antminer T15 and 399 Antminer S15 ** Includes 5,082 T3 and 1,364 T2T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Includes 4,338 M20S, 1,465 M30S, 245 M31S and 10,307 M31S+</w:t>
      </w:r>
    </w:p>
    <w:p>
      <w:pPr>
        <w:spacing w:after="0" w:line="225" w:lineRule="exact"/>
        <w:rPr>
          <w:sz w:val="20"/>
          <w:szCs w:val="20"/>
          <w:color w:val="auto"/>
        </w:rPr>
      </w:pPr>
    </w:p>
    <w:p>
      <w:pPr>
        <w:ind w:left="20" w:right="540"/>
        <w:spacing w:after="0" w:line="277" w:lineRule="auto"/>
        <w:rPr>
          <w:sz w:val="20"/>
          <w:szCs w:val="20"/>
          <w:color w:val="auto"/>
        </w:rPr>
      </w:pPr>
      <w:r>
        <w:rPr>
          <w:rFonts w:ascii="Arial" w:cs="Arial" w:eastAsia="Arial" w:hAnsi="Arial"/>
          <w:sz w:val="18"/>
          <w:szCs w:val="18"/>
          <w:color w:val="auto"/>
        </w:rPr>
        <w:t>Included in the BVVE and electrical equipment listed above are right-of-use assets consisting of 3,000 Whatsminer M31S+ with a net book value of approximately $6,692 as described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314575" cy="63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LONG-TERM DEPOSITS, EQUIPMENT PREPAYMENTS AND COMMITMENTS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June 30, 2021</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 for rent, energy and insurance</w:t>
            </w: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Equipment prepayments</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73,373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placed deposits on BVVE in the amount of $73,373. These deposits are mainly for orders placed on 7,300 Antminer and 48,000 Whatsminer miners with expected delivery in late 2021 and 2022, respectively, as well as 1,500 Whatsminer miners delivered in July 2021. The Company is exposed to counterparty risk through its significant deposits it places with suppliers of mining hardware to secure orders and delivery dates. The risk of a supplier failing to meet its contractual obligations may result in late deliveries or long-term deposits and equipment prepayments that are not realized. The Company attempts to mitigate this risk by procuring mining hardware from established suppliers with whom it maintains strong relationships. The Company’s orders for mining hardware are with two of the largest mining hardware manufacturers in the world, and with whom the Company has maintained relations for several years. The table below outlines the Company’s remaining payment obligation in connections with the purchase agreements described above: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Three months ended September 30, 2022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24,500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30,500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12,600</w:t>
      </w:r>
    </w:p>
    <w:p>
      <w:pPr>
        <w:spacing w:after="0" w:line="35" w:lineRule="exact"/>
        <w:rPr>
          <w:sz w:val="20"/>
          <w:szCs w:val="20"/>
          <w:color w:val="auto"/>
        </w:rPr>
      </w:pPr>
    </w:p>
    <w:p>
      <w:pPr>
        <w:ind w:left="520" w:hanging="515"/>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176,800</w:t>
      </w:r>
    </w:p>
    <w:p>
      <w:pPr>
        <w:spacing w:after="0" w:line="200" w:lineRule="exact"/>
        <w:rPr>
          <w:sz w:val="20"/>
          <w:szCs w:val="20"/>
          <w:color w:val="auto"/>
        </w:rPr>
      </w:pPr>
    </w:p>
    <w:p>
      <w:pPr>
        <w:sectPr>
          <w:pgSz w:w="11900" w:h="16838" w:orient="portrait"/>
          <w:cols w:equalWidth="0" w:num="2">
            <w:col w:w="9300" w:space="720"/>
            <w:col w:w="1220"/>
          </w:cols>
          <w:pgMar w:left="320" w:top="688" w:right="339" w:bottom="1440" w:gutter="0" w:footer="0" w:header="0"/>
          <w:type w:val="continuous"/>
        </w:sectPr>
      </w:pP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require additional sources of financing to meet the payment obligations included in the table above. If the Company were unable to obtain such financing, or the Bitcoin price and network difficulty were adversely impacted, then the Company may have difficulty meeting its payment obligations. If the Company were unable to meet its payment obligations, the counterparty to the contracts may result in the loss of any equipment prepayments and deposits paid by the Company under the purchase agreement, remedial legal measures against the Company which may include seeking damages and forced continuance of the contractual arrangement. Under these circumstances, the Company’s growth plans and ongoing operations could be adversely impacted.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commitments described above, in May 2021 the Company entered into three loan agreements, “Loans #2, #3 and #4”, to acquire a total of 1,000 Whatsminer miners as described in Note 8b. The loan terms are 18 months, beginning in September through October 2021 with total monthly repayments averaging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314575" cy="634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 w:name="page14"/>
    <w:bookmarkEnd w:id="13"/>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TRADE PAYABLES AND ACCRUED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00" w:type="dxa"/>
            <w:vAlign w:val="bottom"/>
            <w:tcBorders>
              <w:bottom w:val="single" w:sz="8" w:color="CCEEFF"/>
            </w:tcBorders>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Government remittances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r>
      <w:tr>
        <w:trPr>
          <w:trHeight w:val="236"/>
        </w:trPr>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19"/>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NOTE 8: LONG-TERM DEBT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4"/>
        </w:trPr>
        <w:tc>
          <w:tcPr>
            <w:tcW w:w="4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00" w:type="dxa"/>
            <w:vAlign w:val="bottom"/>
            <w:tcBorders>
              <w:bottom w:val="single" w:sz="8" w:color="CCEEFF"/>
            </w:tcBorders>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Dominion Capital loan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Equipment financing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Volta note payable and vendor financing</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11,560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17,345</w:t>
            </w:r>
          </w:p>
        </w:tc>
        <w:tc>
          <w:tcPr>
            <w:tcW w:w="100" w:type="dxa"/>
            <w:vAlign w:val="bottom"/>
            <w:tcBorders>
              <w:top w:val="single" w:sz="8" w:color="CCEEFF"/>
            </w:tcBorders>
          </w:tcPr>
          <w:p>
            <w:pPr>
              <w:spacing w:after="0"/>
              <w:rPr>
                <w:sz w:val="17"/>
                <w:szCs w:val="17"/>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(17,171)</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Non-current portion of long-term debt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tcPr>
          <w:p>
            <w:pPr>
              <w:spacing w:after="0"/>
              <w:rPr>
                <w:sz w:val="18"/>
                <w:szCs w:val="18"/>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8280" w:type="dxa"/>
            <w:vAlign w:val="bottom"/>
          </w:tcPr>
          <w:p>
            <w:pPr>
              <w:ind w:left="240"/>
              <w:spacing w:after="0"/>
              <w:rPr>
                <w:sz w:val="20"/>
                <w:szCs w:val="20"/>
                <w:color w:val="auto"/>
              </w:rPr>
            </w:pPr>
            <w:r>
              <w:rPr>
                <w:rFonts w:ascii="Arial" w:cs="Arial" w:eastAsia="Arial" w:hAnsi="Arial"/>
                <w:sz w:val="18"/>
                <w:szCs w:val="18"/>
                <w:color w:val="auto"/>
              </w:rPr>
              <w:t>Dominion Capital loan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2019, the Group entered into a secured debt financing facility for up to $20,000 with Dominion Capital LLC (the Lender). The debt facility was structured into four separate loan tranches of $5,000 per tranche. Each loan tranche bore interest at 10% per annum and the term of each loan tranche was 24 months with a balloon payment for any remaining outstanding balance at the end of the term. A monthly payment equivalent to 10% of the value of cryptocurrencies mined by Backbone during the month was required in repayment of the total loan tranches drawn. The loan contained a "make-whole" clause which stipulated that the 10% interest rate was calculated on the initial principal balance of the loan tranche and did not decrease as the principal balance was repaid.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 interest rate was calculated over the 24-month term of each loan tranche regardless of whether the loan tranche was repaid prior to its maturity. Any unpaid interest at the time of the loan tranche's early repayment was included in the balloon payment. The loan features resulted in a loan liability measured at amortized cost, a warrant component recorded as equity, a warrant component recorded as a liability measured at fair value through profit or loss, and an embedded derivative measured at fair value through profit or loss described below.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the Company entered into an agreement with Dominion Capital to amend the maturity date of tranche #2 from April 2021 to November 2021. The 10% make-whole clause described below remained in effect for the 6 month extension of the second loan tranche. In addition, a conversion feature was added to tranche #3, maturing in June 2021, providing Dominion Capital with the option to convert all or a portion of the loan tranche into shares at a price of $0.59 USD per share. The conversion feature was exercisable by Dominion Capital at any time until the loan’s maturity date in June 2021. In January 2021, Dominion Capital exercised their option to convert $5,000 of debt into 8,474,577 Common Shares. In February 2021, the Company repaid the remaining debt obligation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314575" cy="634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liability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loan liability was initially measured as the residual amount of the proceeds received, net of transaction costs and the fair value of the warrant issuance. The loan was then measured at amortized cost using the effective interest method. Management used significant judgement and estimates when determining the effective interest rate. Payment amounts were determined as 10% of the cryptocurrency mined by Backbone. In order to calculate the effective interest rate, management estimated Backbone's future cryptocurrency mining revenues in order to estimate the timing and amount of future loan repayments. Upon inception of each loan tranche, the effective interest rates were determined to be 26.93%, 30.16%, 37.10 % and 38.02% for the first, second, third and fourth tranches, respectively. Included in financial expenses for the three and six months ended June 30, 2021 are $472 (three and six months ended June 30 2020 $1,258 and $2,487, respectively) of interest expense related to the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issuance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Bitfarms Ltd. also issued 1,666,667 Lender warrants, which vested upon issuance, to acquire 1,666,667 shares of Bitfarms Ltd. for each loan tranche drawn with an exercise price of $0.40 USD per share and an expiration date of five years. As a result, an aggregate of 6,666,668 Lender warrants to acquire 6,666,668 shares have been issued, of which 1,250,000 were exercised as of December 31, 2020. The remaining 5,416,668 warrants were exercised in January and February 2021 resulting in the issuance of 5,251,223 common shares for proceeds of approximately $1,500, see Note 11. The warrant exercises described above include the cashless exercise of 1,666,667 warrants resulting in the issuance of 1,501,222 common shares. In addition to the loan modifications described above, a cashless exercise feature was authorized for the warrants issued in connection with Tranche #2 and Tranche #3, which resulted in these warrants being reclassified from equity to a warrant liability measured at fair value through profit or loss. The Black Scholes model and the inputs described in Note 11 were used in determining the values of the warrants prior to their derecognition which resulted in a non-cash loss on revaluation of warrants for the three and six months ended of $2,466 included in net financial expenses (three and six months ended June 30, 2020 - $nil)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value of the "make-whole" clause described above would vary based on management's projections of the timing of the loan repayment, which are based on Backbone's cryptocurrency mining revenues. This interest feature has been accounted for as an embedded derivative that is measured at fair value through profit or loss. The early repayment of the loan resulted in the company recording a loss on embedded derivative for the three and six months ended June 30, 2021, of $2,641 included in net financial expenses (three and six months ended June 30, 2020 gain of $58 and $120, respectively). See Note 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2314575" cy="634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(Cont.)</w:t>
      </w:r>
    </w:p>
    <w:p>
      <w:pPr>
        <w:spacing w:after="0" w:line="229"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Equipment financing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2021, the Company entered into a loan agreement for the acquisition of 1,465 Whatsminer miners, “Loan #1”. The loan term is 18 months, beginning in April 2021, at an effective interest rate of 18.6% with total monthly repayments averaging $583. As of June 30, 2021, Loan #1 had a balance outstanding of $7,661 and is secured by the 1,465 Whatsminer miners described above with a net book value of $9,468. In May 2021, the Company entered into three additional loan agreements with the same lender to acquire a total of 1,000 Whatsminer miners with expected delivery from September through October 2021, “Loans #2, #3 and #4”. The loan terms are 18 months, beginning in September through October 2021, at an effective interest rate of 18.6% with total monthly repayments averaging $311. Loans #2, #3 and #4 are secured by the 1,000 Whatsminer miners described above.</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2021, the Company modified the terms of three lease agreements for 4,000 Whatsminer miners to convert them to three loan agreements. The key terms, such as interest rates loan term and payment schedule remain unchanged. The loan terms are for 14 to 16 months, beginning in June 2021 at effective interest rates ranging from 18% to 22% with monthly repayments totaling approximately $291. As of June 30, 2021, the loan balances outstanding of the three loan agreements described above were $3,745 and are secured by 4,000 Whatsminer miners with a net book value of $5,043. A total of $3,904 was reclassified from lease liabilities to long-term debt as a result of the modification. The right-of-use assets related to the three leases were classified in property, plant and equipment and as a result no reclassification was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out below are the carrying amounts of the Company’s right-of-use assets and lease liabilities and their activity during the six month period ended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Total ROU</w:t>
            </w:r>
          </w:p>
        </w:tc>
        <w:tc>
          <w:tcPr>
            <w:tcW w:w="160" w:type="dxa"/>
            <w:vAlign w:val="bottom"/>
          </w:tcPr>
          <w:p>
            <w:pPr>
              <w:spacing w:after="0"/>
              <w:rPr>
                <w:sz w:val="19"/>
                <w:szCs w:val="19"/>
                <w:color w:val="auto"/>
              </w:rPr>
            </w:pPr>
          </w:p>
        </w:tc>
        <w:tc>
          <w:tcPr>
            <w:tcW w:w="10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premises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Vehicles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liabilities converted to long-term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warrants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 at June 30, 2021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9,939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Less current portion of lease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6,301</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14575" cy="634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 (Cont.)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2021, the Company modified the terms of three two-year lease agreements for mining hardware, with a balance of $3,904 at the time of conversion, being reclassified from lease liabilities to long-term debt as described in Note 8b. No changes were made to the payment terms, interest rate or security interest of the former lessor.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one lease agreement for mining hardware, consisting of 3,000 Whatsminer M31S+, with a net book value of approximately $6,692, classified as property, plant and equipment under BVVE and electrical equipment as described in Note 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468,013 warrants to the former lessor with an exercise price of $0.40 USD and expiring in May 2023 with a total cost of $2,160, which was recorded as an addition to property, plant and equipment and will be amortized over the useful life of the corresponding assets. The inputs used to value the grant using the Black-Scholes model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May 11,</w:t>
            </w:r>
          </w:p>
        </w:tc>
      </w:tr>
      <w:tr>
        <w:trPr>
          <w:trHeight w:val="241"/>
        </w:trPr>
        <w:tc>
          <w:tcPr>
            <w:tcW w:w="101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10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140" w:type="dxa"/>
            <w:vAlign w:val="bottom"/>
            <w:gridSpan w:val="2"/>
          </w:tcPr>
          <w:p>
            <w:pPr>
              <w:spacing w:after="0"/>
              <w:rPr>
                <w:sz w:val="20"/>
                <w:szCs w:val="20"/>
                <w:color w:val="auto"/>
              </w:rPr>
            </w:pPr>
            <w:r>
              <w:rPr>
                <w:rFonts w:ascii="Arial" w:cs="Arial" w:eastAsia="Arial" w:hAnsi="Arial"/>
                <w:sz w:val="18"/>
                <w:szCs w:val="18"/>
                <w:color w:val="auto"/>
              </w:rPr>
              <w:t>Expected share price volatility (%)</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139%</w:t>
            </w:r>
          </w:p>
        </w:tc>
        <w:tc>
          <w:tcPr>
            <w:tcW w:w="100" w:type="dxa"/>
            <w:vAlign w:val="bottom"/>
          </w:tcPr>
          <w:p>
            <w:pPr>
              <w:spacing w:after="0"/>
              <w:rPr>
                <w:sz w:val="18"/>
                <w:szCs w:val="18"/>
                <w:color w:val="auto"/>
              </w:rPr>
            </w:pPr>
          </w:p>
        </w:tc>
      </w:tr>
      <w:tr>
        <w:trPr>
          <w:trHeight w:val="216"/>
        </w:trPr>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0.05%</w:t>
            </w:r>
          </w:p>
        </w:tc>
        <w:tc>
          <w:tcPr>
            <w:tcW w:w="100" w:type="dxa"/>
            <w:vAlign w:val="bottom"/>
            <w:shd w:val="clear" w:color="auto" w:fill="CCEEFF"/>
          </w:tcPr>
          <w:p>
            <w:pPr>
              <w:spacing w:after="0"/>
              <w:rPr>
                <w:sz w:val="18"/>
                <w:szCs w:val="18"/>
                <w:color w:val="auto"/>
              </w:rPr>
            </w:pPr>
          </w:p>
        </w:tc>
      </w:tr>
      <w:tr>
        <w:trPr>
          <w:trHeight w:val="216"/>
        </w:trPr>
        <w:tc>
          <w:tcPr>
            <w:tcW w:w="10140" w:type="dxa"/>
            <w:vAlign w:val="bottom"/>
            <w:gridSpan w:val="2"/>
          </w:tcPr>
          <w:p>
            <w:pPr>
              <w:spacing w:after="0"/>
              <w:rPr>
                <w:sz w:val="20"/>
                <w:szCs w:val="20"/>
                <w:color w:val="auto"/>
              </w:rPr>
            </w:pPr>
            <w:r>
              <w:rPr>
                <w:rFonts w:ascii="Arial" w:cs="Arial" w:eastAsia="Arial" w:hAnsi="Arial"/>
                <w:sz w:val="18"/>
                <w:szCs w:val="18"/>
                <w:color w:val="auto"/>
              </w:rPr>
              <w:t>Expected life of warrants (years)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8"/>
                <w:szCs w:val="18"/>
                <w:color w:val="auto"/>
              </w:rPr>
            </w:pPr>
          </w:p>
        </w:tc>
      </w:tr>
      <w:tr>
        <w:trPr>
          <w:trHeight w:val="216"/>
        </w:trPr>
        <w:tc>
          <w:tcPr>
            <w:tcW w:w="10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 price (CAD)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6.04</w:t>
            </w:r>
          </w:p>
        </w:tc>
        <w:tc>
          <w:tcPr>
            <w:tcW w:w="100" w:type="dxa"/>
            <w:vAlign w:val="bottom"/>
            <w:shd w:val="clear" w:color="auto" w:fill="CCEEFF"/>
          </w:tcPr>
          <w:p>
            <w:pPr>
              <w:spacing w:after="0"/>
              <w:rPr>
                <w:sz w:val="18"/>
                <w:szCs w:val="18"/>
                <w:color w:val="auto"/>
              </w:rPr>
            </w:pPr>
          </w:p>
        </w:tc>
      </w:tr>
      <w:tr>
        <w:trPr>
          <w:trHeight w:val="216"/>
        </w:trPr>
        <w:tc>
          <w:tcPr>
            <w:tcW w:w="10140" w:type="dxa"/>
            <w:vAlign w:val="bottom"/>
            <w:gridSpan w:val="2"/>
          </w:tcPr>
          <w:p>
            <w:pPr>
              <w:spacing w:after="0"/>
              <w:rPr>
                <w:sz w:val="20"/>
                <w:szCs w:val="20"/>
                <w:color w:val="auto"/>
              </w:rPr>
            </w:pPr>
            <w:r>
              <w:rPr>
                <w:rFonts w:ascii="Arial" w:cs="Arial" w:eastAsia="Arial" w:hAnsi="Arial"/>
                <w:sz w:val="18"/>
                <w:szCs w:val="18"/>
                <w:color w:val="auto"/>
              </w:rPr>
              <w:t>Exercise price (USD)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0.40 USD</w:t>
            </w:r>
          </w:p>
        </w:tc>
      </w:tr>
      <w:tr>
        <w:trPr>
          <w:trHeight w:val="216"/>
        </w:trPr>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4.62 USD</w:t>
            </w:r>
          </w:p>
        </w:tc>
      </w:tr>
      <w:tr>
        <w:trPr>
          <w:trHeight w:val="230"/>
        </w:trPr>
        <w:tc>
          <w:tcPr>
            <w:tcW w:w="10140" w:type="dxa"/>
            <w:vAlign w:val="bottom"/>
            <w:gridSpan w:val="2"/>
          </w:tcPr>
          <w:p>
            <w:pPr>
              <w:spacing w:after="0"/>
              <w:rPr>
                <w:sz w:val="20"/>
                <w:szCs w:val="20"/>
                <w:color w:val="auto"/>
              </w:rPr>
            </w:pPr>
            <w:r>
              <w:rPr>
                <w:rFonts w:ascii="Arial" w:cs="Arial" w:eastAsia="Arial" w:hAnsi="Arial"/>
                <w:sz w:val="18"/>
                <w:szCs w:val="18"/>
                <w:color w:val="auto"/>
              </w:rPr>
              <w:t>Quantity of warrants granted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468,013</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warrants issued are for the purchase of one common share in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Deferred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taxes are computed at a tax rate of 26.5%, based on tax rates expected to apply at the time of realization. Deferred taxes relate primarily to the timing differences on recognition of expenses relating to the depreciation of fixed assets and loss carryforwards. Backbone currently has federal and provincial loss carryforwards of $14,807,000 CAD and $17,040,000 CAD, respectively which can be carried forward for a period of 20 years, expiring in 2040. Management has concluded that the loss carryforwards meet the recognition criteria to recognize a deferred tax asset under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314575" cy="634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 (Cont.)</w:t>
      </w:r>
    </w:p>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Taxes included in profit or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89"/>
              </w:rPr>
              <w:t>Six months ended June 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tax expense (benefit)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Prior year</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Prior year</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taxes included in profit or loss, a deferred tax recovery of $1,849 was calculated on the revaluation loss on digital assets included in other comprehensive income, which offset the deferred tax expense of $1,849 recorded in the three months ended March 31, 2021. The Company’s total deferred tax asset as of June 30, 2021, is $514.</w:t>
      </w:r>
    </w:p>
    <w:p>
      <w:pPr>
        <w:spacing w:after="0" w:line="18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 tax rate for the six months ended June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rate of 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gridSpan w:val="2"/>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Increase (decrease) in taxes resulting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r>
      <w:tr>
        <w:trPr>
          <w:trHeight w:val="216"/>
        </w:trPr>
        <w:tc>
          <w:tcPr>
            <w:tcW w:w="10020" w:type="dxa"/>
            <w:vAlign w:val="bottom"/>
          </w:tcPr>
          <w:p>
            <w:pPr>
              <w:ind w:left="160"/>
              <w:spacing w:after="0"/>
              <w:rPr>
                <w:sz w:val="20"/>
                <w:szCs w:val="20"/>
                <w:color w:val="auto"/>
              </w:rPr>
            </w:pPr>
            <w:r>
              <w:rPr>
                <w:rFonts w:ascii="Arial" w:cs="Arial" w:eastAsia="Arial" w:hAnsi="Arial"/>
                <w:sz w:val="18"/>
                <w:szCs w:val="18"/>
                <w:color w:val="auto"/>
              </w:rPr>
              <w:t>Non-deductible expenses and other</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8,288</w:t>
            </w:r>
          </w:p>
        </w:tc>
        <w:tc>
          <w:tcPr>
            <w:tcW w:w="80" w:type="dxa"/>
            <w:vAlign w:val="bottom"/>
          </w:tcPr>
          <w:p>
            <w:pPr>
              <w:spacing w:after="0"/>
              <w:rPr>
                <w:sz w:val="18"/>
                <w:szCs w:val="18"/>
                <w:color w:val="auto"/>
              </w:rPr>
            </w:pPr>
          </w:p>
        </w:tc>
      </w:tr>
      <w:tr>
        <w:trPr>
          <w:trHeight w:val="236"/>
        </w:trPr>
        <w:tc>
          <w:tcPr>
            <w:tcW w:w="10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 previously not recognized</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(3,655)</w:t>
            </w:r>
          </w:p>
        </w:tc>
      </w:tr>
      <w:tr>
        <w:trPr>
          <w:trHeight w:val="250"/>
        </w:trPr>
        <w:tc>
          <w:tcPr>
            <w:tcW w:w="100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651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688"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11: SHARE CAPITAL</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320" w:type="dxa"/>
            <w:vAlign w:val="bottom"/>
          </w:tcPr>
          <w:p>
            <w:pPr>
              <w:spacing w:after="0"/>
              <w:rPr>
                <w:sz w:val="24"/>
                <w:szCs w:val="24"/>
                <w:color w:val="auto"/>
              </w:rPr>
            </w:pPr>
          </w:p>
        </w:tc>
        <w:tc>
          <w:tcPr>
            <w:tcW w:w="11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Authorized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240"/>
              <w:spacing w:after="0"/>
              <w:rPr>
                <w:sz w:val="20"/>
                <w:szCs w:val="20"/>
                <w:color w:val="auto"/>
              </w:rPr>
            </w:pPr>
            <w:r>
              <w:rPr>
                <w:rFonts w:ascii="Arial" w:cs="Arial" w:eastAsia="Arial" w:hAnsi="Arial"/>
                <w:sz w:val="18"/>
                <w:szCs w:val="18"/>
                <w:b w:val="1"/>
                <w:bCs w:val="1"/>
                <w:color w:val="auto"/>
              </w:rPr>
              <w:t>Issued and outstanding at</w:t>
            </w:r>
          </w:p>
        </w:tc>
      </w:tr>
      <w:tr>
        <w:trPr>
          <w:trHeight w:val="198"/>
        </w:trPr>
        <w:tc>
          <w:tcPr>
            <w:tcW w:w="7320" w:type="dxa"/>
            <w:vAlign w:val="bottom"/>
          </w:tcPr>
          <w:p>
            <w:pPr>
              <w:spacing w:after="0"/>
              <w:rPr>
                <w:sz w:val="17"/>
                <w:szCs w:val="17"/>
                <w:color w:val="auto"/>
              </w:rPr>
            </w:pPr>
          </w:p>
        </w:tc>
        <w:tc>
          <w:tcPr>
            <w:tcW w:w="1140" w:type="dxa"/>
            <w:vAlign w:val="bottom"/>
            <w:tcBorders>
              <w:top w:val="single" w:sz="8" w:color="auto"/>
            </w:tcBorders>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gridSpan w:val="2"/>
          </w:tcPr>
          <w:p>
            <w:pPr>
              <w:ind w:left="240"/>
              <w:spacing w:after="0" w:line="198" w:lineRule="exact"/>
              <w:rPr>
                <w:sz w:val="20"/>
                <w:szCs w:val="20"/>
                <w:color w:val="auto"/>
              </w:rPr>
            </w:pPr>
            <w:r>
              <w:rPr>
                <w:rFonts w:ascii="Arial" w:cs="Arial" w:eastAsia="Arial" w:hAnsi="Arial"/>
                <w:sz w:val="18"/>
                <w:szCs w:val="18"/>
                <w:b w:val="1"/>
                <w:bCs w:val="1"/>
                <w:color w:val="auto"/>
              </w:rPr>
              <w:t>June 30,</w:t>
            </w: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Number of shares</w:t>
            </w: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no par value</w:t>
            </w:r>
          </w:p>
        </w:tc>
        <w:tc>
          <w:tcPr>
            <w:tcW w:w="11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Unlimited</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162,083,352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88,939,359</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Dominion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 8, the remaining 5,416,668 warrants were exercised in January and February 2021 resulting in the issuance of 5,251,223 common shares for proceeds of approximately $1,500.</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warrant exercises described above include the cashless exercise of 1,666,667 warrants resulting in the issuance of 1,501,222 common shares. In addition to the loan modifications described in Note 8, a cashless exercise feature was authorized for the warrants issued in connection with Tranche #2 and Tranche #3, which resulted in these warrants being reclassified from equity to a warrant liability measured at fair value through profit or loss. The Black Scholes model and the inputs below were used in determining the values of the warrants relating to Tranche #2 and Tranche #3, prior to their derecognition. The derecognition of warrants containing the authorized cashless exercise feature resulted in a non-cash loss on revaluation of warrants of $2,466 included in net financial expenses for the six months ended June 30, 2021 (six months ended June 30, 2020 - $nil).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Remeasurement on settlement of warrant liability</w:t>
            </w:r>
          </w:p>
        </w:tc>
        <w:tc>
          <w:tcPr>
            <w:tcW w:w="0" w:type="dxa"/>
            <w:vAlign w:val="bottom"/>
          </w:tcPr>
          <w:p>
            <w:pPr>
              <w:spacing w:after="0"/>
              <w:rPr>
                <w:sz w:val="1"/>
                <w:szCs w:val="1"/>
                <w:color w:val="auto"/>
              </w:rPr>
            </w:pPr>
          </w:p>
        </w:tc>
      </w:tr>
      <w:tr>
        <w:trPr>
          <w:trHeight w:val="198"/>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January 7,</w:t>
            </w:r>
          </w:p>
        </w:tc>
        <w:tc>
          <w:tcPr>
            <w:tcW w:w="13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January 25,</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February 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Quantity of warrants 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250,000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1,666,667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916,667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8, in January 2021, Dominion Capital exercised their option to convert $5,000 of debt into 8,474,577 Common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and February 2021, Dominion Capital exercised all of their remaining outstanding warrants resulting in the issuance of 5,251,223 common shares for proceeds of approximately $1,500. The warrant exercises described above include the cashless exercise of 1,666,667 warrants resulting in the issuance of 1,501,222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651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68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CAPITAL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January, February and May 2021, the Company completed four private placements for total gross proceeds of $155,000,000 CAD in exchange for 40,187,121 Common Shares and 36,649,385 warrants to purchase Common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Closing Date</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January 7,</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January 14,</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February 10,</w:t>
            </w: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May 20,</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(CAD)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Common shares issued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8,888,889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5,586,593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11,560,695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14,150,944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8,888,889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5,586,593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11,560,695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10,613,208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Warrant strike price</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2.75 CAD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3.10 USD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3.01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4.87 USD</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Warrant life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Commission paid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Broker warrants issued*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711,111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446,927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924,586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1,132,076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Broker warrant strike price</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2.81 CAD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3.53 USD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3.39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5.49 USD</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Broker warrant life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warrants issued are for the purchase of one common share in the Company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2021, 8,888,889 warrants and 615,111 of the 711,111 broker warrants related to the private placement closed on January 7, 2021 were exercised resulting in the issuance of 9,504,000 common shares for proceeds of approximately $20,611 (26,172,000 CAD).</w:t>
      </w:r>
    </w:p>
    <w:p>
      <w:pPr>
        <w:spacing w:after="0" w:line="17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March 2021, 5,027,933 warrants related to the private placement closed on January 14, 2021 were exercised resulting in the issuance of 5,027,933 common shares for proceeds of approximately $15,587. In addition, 800,000 of the 924,586 broker warrants issued in connection with the private placement on February 10, 2021 were exercised resulting in the issuance of 800,000 common shares for proceeds of $2,712. In total, 15,331,933 warrants have been exercised resulting in the issuance of 15,331,933 common shares for total proceeds of $38,910.</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warrants issued in connection with the private placement closed on January 7, 2021 had a strike price denominated in Canadian dollars, which is different from the Company’s functional currency of the U.S. dollar. As a result, fluctuations in the Canadian to U.S. dollar exchange rate could result in the Company receiving a variable amount of cash in its functional currency in exchange for the exercise of warrants and issuance of shares.</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possibility of variation in the settlement price in the Company’s functional currency results in the warrants being classified as a liability that is measured at fair value through profit or loss. This accounting treatment does not apply to the broker warrants issued in Canadian dollars as warrants issued in exchange for goods or services are generally accounted for as equity with no remeasurement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314575" cy="6343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CAPITAL (Cont.)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Black Scholes model and the inputs below were used in determining the values of the warrants prior to their derecognition which resulted in a non-cash loss on revaluation of warrants of $17,058 included in net financial expenses.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Initial recognition</w:t>
            </w: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Remeasurement on settlement of warrant liability</w:t>
            </w:r>
          </w:p>
        </w:tc>
        <w:tc>
          <w:tcPr>
            <w:tcW w:w="0" w:type="dxa"/>
            <w:vAlign w:val="bottom"/>
          </w:tcPr>
          <w:p>
            <w:pPr>
              <w:spacing w:after="0"/>
              <w:rPr>
                <w:sz w:val="1"/>
                <w:szCs w:val="1"/>
                <w:color w:val="auto"/>
              </w:rPr>
            </w:pPr>
          </w:p>
        </w:tc>
      </w:tr>
      <w:tr>
        <w:trPr>
          <w:trHeight w:val="198"/>
        </w:trPr>
        <w:tc>
          <w:tcPr>
            <w:tcW w:w="556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January 7,</w:t>
            </w:r>
          </w:p>
        </w:tc>
        <w:tc>
          <w:tcPr>
            <w:tcW w:w="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February 16,</w:t>
            </w:r>
          </w:p>
        </w:tc>
        <w:tc>
          <w:tcPr>
            <w:tcW w:w="13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February 22,</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February 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56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price (CAD)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Exercise price (CAD)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Quantity of warrants exercised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8,888,889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888,889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5,000,000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and six month period ended June 30, 2021, employees and former employees exercised a combined total of 3,897,368 stock options to acquire 3,897,368 common shares resulting in proceeds of approximately $2,995 being paid to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An additional 1,771 common shares were issued during the six month period ended June 30, 2021.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12: TRANSACTIONS AND BALANCES WITH RELATED PARTIES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 Balances with related parties: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Trade payables: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Directors’ remuneration (included in accrued liabilities)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68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Companies controlled by directors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4575" cy="6343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TRANSACTIONS AND BALANCES WITH RELATED PARTIES (Cont.)</w:t>
      </w:r>
    </w:p>
    <w:p>
      <w:pPr>
        <w:spacing w:after="0" w:line="22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Transactions with related parties during the three and six month period ended June 30, 2021:</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Company made rent payments totaling approximately $121 and $237 for the three and six month period ended June 30, 2021, respectively, ($109 and $217 for the three and six month periods ended June 30, 2020, respectively) to companies controlled by certain directors. The rent payments were classified as interest included in financial expenses and principal repayment of lease liabilities.</w:t>
      </w:r>
    </w:p>
    <w:p>
      <w:pPr>
        <w:spacing w:after="0" w:line="16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entered into consulting agreements with two of the directors. The consulting fees charged by directors totaled approximately $145 and $269 for the three and six month periods ended June 30, 2021, respectively, ($103 and $200 for the three and six month periods ended June 30, 2020, respectively).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were included in consolidated statements of loss and comprehensive loss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7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7"/>
        </w:trPr>
        <w:tc>
          <w:tcPr>
            <w:tcW w:w="59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Net financial expenses</w:t>
            </w:r>
          </w:p>
        </w:tc>
        <w:tc>
          <w:tcPr>
            <w:tcW w:w="80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to the transactions listed above, the Company adopted an incentive plan to reward certain directors and members of senior management with a total of 50 Bitcoins, payable in December 2021, contingent on continued employment with the Company, or payable upon termination without cause. An amount of $186 was accrued as of June 30, 2021, in connection with this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BASED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expense recognized in the financial statements for employee services received is shown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6"/>
        </w:trPr>
        <w:tc>
          <w:tcPr>
            <w:tcW w:w="59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Equity-settled share-based payment plans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share-based payment transactions entered into between the Company and its employees and service providers during the six month period ended June 30, 2021 are described below. During the six month period ended June 30, 2021, the Board of Directors approved stock option grants of 7,785,000 options to purchase 7,785,000 common shares in accordance with the stock option plan adopted on June 20, 2019. All options issued to employees become exercisable when they vest and can be exercised for a period of 5 years from the date of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314575" cy="6343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BASED PAYMENT (Cont.)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the Board of Directors approved the grant of 200,000 Restricted Stock Units (RSUs) to certain members of senior management which vest ratably, on an annual basis, over a three-year period. The value of the RSUs on the grant date was $4.05 per unit.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The inputs used to value the option grants using the Black-Scholes model are as follows:</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w:t>
            </w:r>
          </w:p>
        </w:tc>
        <w:tc>
          <w:tcPr>
            <w:tcW w:w="80" w:type="dxa"/>
            <w:vAlign w:val="bottom"/>
          </w:tcPr>
          <w:p>
            <w:pPr>
              <w:spacing w:after="0"/>
              <w:rPr>
                <w:sz w:val="24"/>
                <w:szCs w:val="2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June 2,</w:t>
            </w:r>
          </w:p>
        </w:tc>
        <w:tc>
          <w:tcPr>
            <w:tcW w:w="40" w:type="dxa"/>
            <w:vAlign w:val="bottom"/>
          </w:tcPr>
          <w:p>
            <w:pPr>
              <w:spacing w:after="0"/>
              <w:rPr>
                <w:sz w:val="24"/>
                <w:szCs w:val="24"/>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41"/>
        </w:trPr>
        <w:tc>
          <w:tcPr>
            <w:tcW w:w="72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139%</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6.39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Vesting period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Quantity of options granted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65,000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364,050</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7,355,950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20" w:type="dxa"/>
            <w:vAlign w:val="bottom"/>
          </w:tcPr>
          <w:p>
            <w:pPr>
              <w:spacing w:after="0"/>
              <w:rPr>
                <w:sz w:val="20"/>
                <w:szCs w:val="20"/>
                <w:color w:val="auto"/>
              </w:rPr>
            </w:pPr>
            <w:r>
              <w:rPr>
                <w:rFonts w:ascii="Arial" w:cs="Arial" w:eastAsia="Arial" w:hAnsi="Arial"/>
                <w:sz w:val="18"/>
                <w:szCs w:val="18"/>
                <w:color w:val="auto"/>
              </w:rPr>
              <w:t>Details of the outstanding stock options as of June 30, 2021, are as follows: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June 30, 2021</w:t>
            </w:r>
          </w:p>
        </w:tc>
        <w:tc>
          <w:tcPr>
            <w:tcW w:w="0" w:type="dxa"/>
            <w:vAlign w:val="bottom"/>
          </w:tcPr>
          <w:p>
            <w:pPr>
              <w:spacing w:after="0"/>
              <w:rPr>
                <w:sz w:val="1"/>
                <w:szCs w:val="1"/>
                <w:color w:val="auto"/>
              </w:rPr>
            </w:pPr>
          </w:p>
        </w:tc>
      </w:tr>
      <w:tr>
        <w:trPr>
          <w:trHeight w:val="198"/>
        </w:trPr>
        <w:tc>
          <w:tcPr>
            <w:tcW w:w="7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7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4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8,100,221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7,785,000</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(3,897,368)</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37"/>
        </w:trPr>
        <w:tc>
          <w:tcPr>
            <w:tcW w:w="7220" w:type="dxa"/>
            <w:vAlign w:val="bottom"/>
          </w:tcPr>
          <w:p>
            <w:pPr>
              <w:spacing w:after="0"/>
              <w:rPr>
                <w:sz w:val="20"/>
                <w:szCs w:val="20"/>
                <w:color w:val="auto"/>
              </w:rPr>
            </w:pPr>
            <w:r>
              <w:rPr>
                <w:rFonts w:ascii="Arial" w:cs="Arial" w:eastAsia="Arial" w:hAnsi="Arial"/>
                <w:sz w:val="18"/>
                <w:szCs w:val="18"/>
                <w:color w:val="auto"/>
              </w:rPr>
              <w:t>Expired</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(3,678)</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2021</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11,984,175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Exercisable, June 30, 2021</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4,055,600</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stock options as at June 30, 2021 was 4.5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4575" cy="634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ADDITIONAL DETAILS TO THE STATEMENT OF PROFIT OR LOSS AND COMPREHENSIVE PROFIT OR LOSS</w:t>
      </w:r>
    </w:p>
    <w:p>
      <w:pPr>
        <w:spacing w:after="0" w:line="22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details to the components of general and administrative expenses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Three months ended June 30,</w:t>
            </w:r>
          </w:p>
        </w:tc>
        <w:tc>
          <w:tcPr>
            <w:tcW w:w="14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7"/>
        </w:trPr>
        <w:tc>
          <w:tcPr>
            <w:tcW w:w="59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 based payment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Insurance and other</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motor vehicle and meals</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37"/>
        </w:trPr>
        <w:tc>
          <w:tcPr>
            <w:tcW w:w="6100" w:type="dxa"/>
            <w:vAlign w:val="bottom"/>
            <w:gridSpan w:val="2"/>
          </w:tcPr>
          <w:p>
            <w:pPr>
              <w:spacing w:after="0"/>
              <w:rPr>
                <w:sz w:val="20"/>
                <w:szCs w:val="20"/>
                <w:color w:val="auto"/>
              </w:rPr>
            </w:pPr>
            <w:r>
              <w:rPr>
                <w:rFonts w:ascii="Arial" w:cs="Arial" w:eastAsia="Arial" w:hAnsi="Arial"/>
                <w:sz w:val="18"/>
                <w:szCs w:val="18"/>
                <w:color w:val="auto"/>
              </w:rPr>
              <w:t>Hosting and telecommunications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details to the components of net financial expenses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37"/>
        </w:trPr>
        <w:tc>
          <w:tcPr>
            <w:tcW w:w="400" w:type="dxa"/>
            <w:vAlign w:val="bottom"/>
            <w:tcBorders>
              <w:bottom w:val="single" w:sz="8" w:color="CCEEFF"/>
            </w:tcBorders>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revaluation of warrants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Loss (gain) on embedded derivative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(gain) on currency exchange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Interest on long-term debt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lease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Warrant issuance costs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financial expenses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0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1,545</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24,552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2,567</w:t>
            </w:r>
          </w:p>
        </w:tc>
        <w:tc>
          <w:tcPr>
            <w:tcW w:w="100" w:type="dxa"/>
            <w:vAlign w:val="bottom"/>
            <w:tcBorders>
              <w:top w:val="single" w:sz="8" w:color="CCEEFF"/>
            </w:tcBorders>
          </w:tcPr>
          <w:p>
            <w:pPr>
              <w:spacing w:after="0"/>
              <w:rPr>
                <w:sz w:val="18"/>
                <w:szCs w:val="18"/>
                <w:color w:val="auto"/>
              </w:rPr>
            </w:pP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c)</w:t>
            </w:r>
          </w:p>
        </w:tc>
        <w:tc>
          <w:tcPr>
            <w:tcW w:w="5580" w:type="dxa"/>
            <w:vAlign w:val="bottom"/>
          </w:tcPr>
          <w:p>
            <w:pPr>
              <w:ind w:left="260"/>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2021,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three and six months ended June 30, 2021, would have been approximately 17,677,251 and 21,347,997,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2314575" cy="634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REPORTABLE SEGMENTS</w:t>
      </w:r>
    </w:p>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reporting segments are identified on the basis of information that is reviewed by the chief operating decision maker ("CODM") to make decisions about resources to be allocated and assess its performance.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Accordingly, for management purposes, the Company is organized into operating segments based on the products and services of its business units and has reportable segments as follows:</w:t>
      </w:r>
    </w:p>
    <w:p>
      <w:pPr>
        <w:sectPr>
          <w:pgSz w:w="11900" w:h="16838" w:orient="portrait"/>
          <w:cols w:equalWidth="0" w:num="1">
            <w:col w:w="11240"/>
          </w:cols>
          <w:pgMar w:left="320" w:top="688"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Backbone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Backbone operates server farms that support the validation and verification of transactions on the blockchain, earning cryptocurrency for providing these services.</w:t>
      </w:r>
    </w:p>
    <w:p>
      <w:pPr>
        <w:spacing w:after="0" w:line="170" w:lineRule="exact"/>
        <w:rPr>
          <w:sz w:val="20"/>
          <w:szCs w:val="20"/>
          <w:color w:val="auto"/>
        </w:rPr>
      </w:pPr>
    </w:p>
    <w:p>
      <w:pPr>
        <w:sectPr>
          <w:pgSz w:w="11900" w:h="16838" w:orient="portrait"/>
          <w:cols w:equalWidth="0" w:num="2">
            <w:col w:w="1380" w:space="580"/>
            <w:col w:w="9280"/>
          </w:cols>
          <w:pgMar w:left="320" w:top="688"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Volta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Volta provides electrician services to both commercial and residential customers in Quebec.</w:t>
      </w:r>
    </w:p>
    <w:p>
      <w:pPr>
        <w:spacing w:after="0" w:line="200" w:lineRule="exact"/>
        <w:rPr>
          <w:sz w:val="20"/>
          <w:szCs w:val="20"/>
          <w:color w:val="auto"/>
        </w:rPr>
      </w:pPr>
    </w:p>
    <w:p>
      <w:pPr>
        <w:sectPr>
          <w:pgSz w:w="11900" w:h="16838" w:orient="portrait"/>
          <w:cols w:equalWidth="0" w:num="2">
            <w:col w:w="1240" w:space="720"/>
            <w:col w:w="9280"/>
          </w:cols>
          <w:pgMar w:left="320" w:top="688"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segment results reported to the CODM include items that are allocated directly to the segments and items that can be allocated on a reasonable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that were not allocated, mainly corporate expenses, are managed on a group basis.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w:t>
            </w:r>
          </w:p>
        </w:tc>
        <w:tc>
          <w:tcPr>
            <w:tcW w:w="6920" w:type="dxa"/>
            <w:vAlign w:val="bottom"/>
          </w:tcPr>
          <w:p>
            <w:pPr>
              <w:ind w:left="260"/>
              <w:spacing w:after="0"/>
              <w:rPr>
                <w:sz w:val="20"/>
                <w:szCs w:val="20"/>
                <w:color w:val="auto"/>
              </w:rPr>
            </w:pPr>
            <w:r>
              <w:rPr>
                <w:rFonts w:ascii="Arial" w:cs="Arial" w:eastAsia="Arial" w:hAnsi="Arial"/>
                <w:sz w:val="18"/>
                <w:szCs w:val="18"/>
                <w:color w:val="auto"/>
              </w:rPr>
              <w:t>Reportable segments: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4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8"/>
          </w:tcPr>
          <w:p>
            <w:pPr>
              <w:jc w:val="right"/>
              <w:ind w:right="601"/>
              <w:spacing w:after="0"/>
              <w:rPr>
                <w:sz w:val="20"/>
                <w:szCs w:val="20"/>
                <w:color w:val="auto"/>
              </w:rPr>
            </w:pPr>
            <w:r>
              <w:rPr>
                <w:rFonts w:ascii="Arial" w:cs="Arial" w:eastAsia="Arial" w:hAnsi="Arial"/>
                <w:sz w:val="18"/>
                <w:szCs w:val="18"/>
                <w:b w:val="1"/>
                <w:bCs w:val="1"/>
                <w:color w:val="auto"/>
              </w:rPr>
              <w:t>Three months ended June 30, 2021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69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35,479</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36,687</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23,178</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ind w:left="40"/>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10,435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172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10,607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on disposition of digital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Gain on disposal of property, plant and equipment</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on revaluation of digital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Net financial expenses</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1,123</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Included in Backbone revenues for the three months ended June 30, 2021, are hosting revenues of $127 (three months ended June 30, 2020 - $nil).</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651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15: REPORTABLE SEGMENTS (Cont)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8"/>
          </w:tcPr>
          <w:p>
            <w:pPr>
              <w:jc w:val="right"/>
              <w:ind w:right="641"/>
              <w:spacing w:after="0"/>
              <w:rPr>
                <w:sz w:val="20"/>
                <w:szCs w:val="20"/>
                <w:color w:val="auto"/>
              </w:rPr>
            </w:pPr>
            <w:r>
              <w:rPr>
                <w:rFonts w:ascii="Arial" w:cs="Arial" w:eastAsia="Arial" w:hAnsi="Arial"/>
                <w:sz w:val="18"/>
                <w:szCs w:val="18"/>
                <w:b w:val="1"/>
                <w:bCs w:val="1"/>
                <w:color w:val="auto"/>
              </w:rPr>
              <w:t>Three months ended June 30, 2020</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Volta</w:t>
            </w:r>
          </w:p>
        </w:tc>
        <w:tc>
          <w:tcPr>
            <w:tcW w:w="3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502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317</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8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1,283</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1,371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707</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disposition of digital assets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(23)</w:t>
            </w:r>
          </w:p>
        </w:tc>
        <w:tc>
          <w:tcPr>
            <w:tcW w:w="8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financial expenses (income)</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1,551</w:t>
            </w:r>
          </w:p>
        </w:tc>
        <w:tc>
          <w:tcPr>
            <w:tcW w:w="8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(3,837</w:t>
            </w:r>
          </w:p>
        </w:tc>
        <w:tc>
          <w:tcPr>
            <w:tcW w:w="240" w:type="dxa"/>
            <w:vAlign w:val="bottom"/>
            <w:tcBorders>
              <w:top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tcBorders>
          </w:tcPr>
          <w:p>
            <w:pPr>
              <w:jc w:val="right"/>
              <w:ind w:right="610"/>
              <w:spacing w:after="0" w:line="203" w:lineRule="exact"/>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103</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(3,734</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gridSpan w:val="8"/>
          </w:tcPr>
          <w:p>
            <w:pPr>
              <w:jc w:val="right"/>
              <w:ind w:right="701"/>
              <w:spacing w:after="0"/>
              <w:rPr>
                <w:sz w:val="20"/>
                <w:szCs w:val="20"/>
                <w:color w:val="auto"/>
              </w:rPr>
            </w:pPr>
            <w:r>
              <w:rPr>
                <w:rFonts w:ascii="Arial" w:cs="Arial" w:eastAsia="Arial" w:hAnsi="Arial"/>
                <w:sz w:val="18"/>
                <w:szCs w:val="18"/>
                <w:b w:val="1"/>
                <w:bCs w:val="1"/>
                <w:color w:val="auto"/>
              </w:rPr>
              <w:t>Six months ended June 30, 2021</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63,215</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65,119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42,471</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13,119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13,426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digital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disposal of property, plant and equipment</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revaluation of digital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Arial" w:cs="Arial" w:eastAsia="Arial" w:hAnsi="Arial"/>
                <w:sz w:val="18"/>
                <w:szCs w:val="18"/>
                <w:color w:val="auto"/>
              </w:rPr>
              <w:t>24,540</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24,552</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Included in Backbone revenues for the six months ended June 30, 2021, are hosting revenues of $673 (six months ended June 30, 2020 - $nil).</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9860"/>
        <w:spacing w:after="0"/>
        <w:rPr>
          <w:sz w:val="20"/>
          <w:szCs w:val="20"/>
          <w:color w:val="auto"/>
        </w:rPr>
      </w:pPr>
      <w:r>
        <w:rPr>
          <w:rFonts w:ascii="Arial" w:cs="Arial" w:eastAsia="Arial" w:hAnsi="Arial"/>
          <w:sz w:val="17"/>
          <w:szCs w:val="17"/>
          <w:b w:val="1"/>
          <w:bCs w:val="1"/>
          <w:color w:val="auto"/>
        </w:rPr>
        <w:t>BITFARMS LTD.</w:t>
      </w:r>
    </w:p>
    <w:p>
      <w:pPr>
        <w:spacing w:after="0" w:line="237" w:lineRule="exact"/>
        <w:rPr>
          <w:sz w:val="20"/>
          <w:szCs w:val="20"/>
          <w:color w:val="auto"/>
        </w:rPr>
      </w:pPr>
    </w:p>
    <w:p>
      <w:pPr>
        <w:ind w:right="3360"/>
        <w:spacing w:after="0" w:line="400"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15: REPORTABLE SEGMENTS (Cont)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9"/>
          </w:tcPr>
          <w:p>
            <w:pPr>
              <w:jc w:val="right"/>
              <w:ind w:right="701"/>
              <w:spacing w:after="0"/>
              <w:rPr>
                <w:sz w:val="20"/>
                <w:szCs w:val="20"/>
                <w:color w:val="auto"/>
              </w:rPr>
            </w:pPr>
            <w:r>
              <w:rPr>
                <w:rFonts w:ascii="Arial" w:cs="Arial" w:eastAsia="Arial" w:hAnsi="Arial"/>
                <w:sz w:val="18"/>
                <w:szCs w:val="18"/>
                <w:b w:val="1"/>
                <w:bCs w:val="1"/>
                <w:color w:val="auto"/>
              </w:rPr>
              <w:t>Six months ended June 30, 2020</w:t>
            </w:r>
          </w:p>
        </w:tc>
        <w:tc>
          <w:tcPr>
            <w:tcW w:w="0" w:type="dxa"/>
            <w:vAlign w:val="bottom"/>
          </w:tcPr>
          <w:p>
            <w:pPr>
              <w:spacing w:after="0"/>
              <w:rPr>
                <w:sz w:val="1"/>
                <w:szCs w:val="1"/>
                <w:color w:val="auto"/>
              </w:rPr>
            </w:pPr>
          </w:p>
        </w:tc>
      </w:tr>
      <w:tr>
        <w:trPr>
          <w:trHeight w:val="237"/>
        </w:trPr>
        <w:tc>
          <w:tcPr>
            <w:tcW w:w="24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top w:val="single" w:sz="8" w:color="auto"/>
              <w:bottom w:val="single" w:sz="8" w:color="CCEEFF"/>
            </w:tcBorders>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16,584</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Gain on disposition of digital assets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7320" w:type="dxa"/>
            <w:vAlign w:val="bottom"/>
            <w:gridSpan w:val="3"/>
          </w:tcPr>
          <w:p>
            <w:pPr>
              <w:ind w:left="40"/>
              <w:spacing w:after="0"/>
              <w:rPr>
                <w:sz w:val="20"/>
                <w:szCs w:val="20"/>
                <w:color w:val="auto"/>
              </w:rPr>
            </w:pPr>
            <w:r>
              <w:rPr>
                <w:rFonts w:ascii="Arial" w:cs="Arial" w:eastAsia="Arial" w:hAnsi="Arial"/>
                <w:sz w:val="18"/>
                <w:szCs w:val="18"/>
                <w:color w:val="auto"/>
              </w:rPr>
              <w:t>Loss on disposal of property, plant and equipment</w:t>
            </w: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0"/>
        </w:trPr>
        <w:tc>
          <w:tcPr>
            <w:tcW w:w="73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financial expenses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Segment profit (loss)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7320" w:type="dxa"/>
            <w:vAlign w:val="bottom"/>
            <w:gridSpan w:val="3"/>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(6,189</w:t>
            </w:r>
          </w:p>
        </w:tc>
        <w:tc>
          <w:tcPr>
            <w:tcW w:w="22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(6,183</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3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Unallocated corporate expenses, net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gridSpan w:val="3"/>
          </w:tcPr>
          <w:p>
            <w:pPr>
              <w:ind w:left="40"/>
              <w:spacing w:after="0" w:line="203" w:lineRule="exact"/>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59"/>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16: ADDITIONAL DETAILS TO THE STATEMENT OF CASH FLOWS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241"/>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Changes in working capital components: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trade receivables, net</w:t>
            </w:r>
          </w:p>
        </w:tc>
        <w:tc>
          <w:tcPr>
            <w:tcW w:w="1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other 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(2,529)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electrical component inventory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long-term deposits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 and accrued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7320" w:type="dxa"/>
            <w:vAlign w:val="bottom"/>
            <w:gridSpan w:val="3"/>
          </w:tcPr>
          <w:p>
            <w:pPr>
              <w:spacing w:after="0"/>
              <w:rPr>
                <w:sz w:val="20"/>
                <w:szCs w:val="20"/>
                <w:color w:val="auto"/>
              </w:rPr>
            </w:pPr>
            <w:r>
              <w:rPr>
                <w:rFonts w:ascii="Arial" w:cs="Arial" w:eastAsia="Arial" w:hAnsi="Arial"/>
                <w:sz w:val="18"/>
                <w:szCs w:val="18"/>
                <w:color w:val="auto"/>
              </w:rPr>
              <w:t>Increase in taxes payable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1,790</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Significant non-cash transactions: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 of right-of-use assets, property, plant and equipment and related lease liabilities</w:t>
            </w:r>
          </w:p>
        </w:tc>
        <w:tc>
          <w:tcPr>
            <w:tcW w:w="14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Purchase of property, plant and equipment financed by short-term credit</w:t>
            </w:r>
          </w:p>
        </w:tc>
        <w:tc>
          <w:tcPr>
            <w:tcW w:w="14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Extinguishment of warrant liability and long-term debt through share issuance</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figures in the comparative period Interim Condensed Consolidated Statements of Cash Flows have been reclassified to meet the current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5,404,625 warrants related to the private placement closed on February 7, 2021, were exercised resulting in the issuance of 5,404,625 common shares for proceeds of approximately $16,268.</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428625</wp:posOffset>
            </wp:positionV>
            <wp:extent cx="2314575" cy="6343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Management’s Discussion &amp; Analysis</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Q2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581660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Contents</w:t>
            </w:r>
          </w:p>
        </w:tc>
        <w:tc>
          <w:tcPr>
            <w:tcW w:w="3460" w:type="dxa"/>
            <w:vAlign w:val="bottom"/>
          </w:tcPr>
          <w:p>
            <w:pPr>
              <w:spacing w:after="0"/>
              <w:rPr>
                <w:sz w:val="20"/>
                <w:szCs w:val="20"/>
                <w:color w:val="auto"/>
              </w:rPr>
            </w:pPr>
          </w:p>
        </w:tc>
      </w:tr>
      <w:tr>
        <w:trPr>
          <w:trHeight w:val="216"/>
        </w:trPr>
        <w:tc>
          <w:tcPr>
            <w:tcW w:w="778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Introduction</w:t>
            </w:r>
          </w:p>
        </w:tc>
        <w:tc>
          <w:tcPr>
            <w:tcW w:w="3460" w:type="dxa"/>
            <w:vAlign w:val="bottom"/>
            <w:shd w:val="clear" w:color="auto" w:fill="CCEEFF"/>
          </w:tcPr>
          <w:p>
            <w:pPr>
              <w:jc w:val="center"/>
              <w:ind w:left="2370"/>
              <w:spacing w:after="0"/>
              <w:rPr>
                <w:sz w:val="20"/>
                <w:szCs w:val="20"/>
                <w:color w:val="auto"/>
              </w:rPr>
            </w:pPr>
            <w:r>
              <w:rPr>
                <w:rFonts w:ascii="Arial" w:cs="Arial" w:eastAsia="Arial" w:hAnsi="Arial"/>
                <w:sz w:val="18"/>
                <w:szCs w:val="18"/>
                <w:color w:val="auto"/>
                <w:w w:val="79"/>
              </w:rPr>
              <w:t>2</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Company Overview</w:t>
            </w:r>
          </w:p>
        </w:tc>
        <w:tc>
          <w:tcPr>
            <w:tcW w:w="3460" w:type="dxa"/>
            <w:vAlign w:val="bottom"/>
          </w:tcPr>
          <w:p>
            <w:pPr>
              <w:jc w:val="center"/>
              <w:ind w:left="2370"/>
              <w:spacing w:after="0"/>
              <w:rPr>
                <w:sz w:val="20"/>
                <w:szCs w:val="20"/>
                <w:color w:val="auto"/>
              </w:rPr>
            </w:pPr>
            <w:r>
              <w:rPr>
                <w:rFonts w:ascii="Arial" w:cs="Arial" w:eastAsia="Arial" w:hAnsi="Arial"/>
                <w:sz w:val="18"/>
                <w:szCs w:val="18"/>
                <w:color w:val="auto"/>
                <w:w w:val="79"/>
              </w:rPr>
              <w:t>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Results of Operations</w:t>
            </w:r>
          </w:p>
        </w:tc>
        <w:tc>
          <w:tcPr>
            <w:tcW w:w="3460" w:type="dxa"/>
            <w:vAlign w:val="bottom"/>
            <w:shd w:val="clear" w:color="auto" w:fill="CCEEFF"/>
          </w:tcPr>
          <w:p>
            <w:pPr>
              <w:jc w:val="center"/>
              <w:ind w:left="2370"/>
              <w:spacing w:after="0"/>
              <w:rPr>
                <w:sz w:val="20"/>
                <w:szCs w:val="20"/>
                <w:color w:val="auto"/>
              </w:rPr>
            </w:pPr>
            <w:r>
              <w:rPr>
                <w:rFonts w:ascii="Arial" w:cs="Arial" w:eastAsia="Arial" w:hAnsi="Arial"/>
                <w:sz w:val="18"/>
                <w:szCs w:val="18"/>
                <w:color w:val="auto"/>
                <w:w w:val="79"/>
              </w:rPr>
              <w:t>3</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Reconciliation of Non-IFRS measures</w:t>
            </w:r>
          </w:p>
        </w:tc>
        <w:tc>
          <w:tcPr>
            <w:tcW w:w="3460" w:type="dxa"/>
            <w:vAlign w:val="bottom"/>
          </w:tcPr>
          <w:p>
            <w:pPr>
              <w:jc w:val="center"/>
              <w:ind w:left="2370"/>
              <w:spacing w:after="0"/>
              <w:rPr>
                <w:sz w:val="20"/>
                <w:szCs w:val="20"/>
                <w:color w:val="auto"/>
              </w:rPr>
            </w:pPr>
            <w:r>
              <w:rPr>
                <w:rFonts w:ascii="Arial" w:cs="Arial" w:eastAsia="Arial" w:hAnsi="Arial"/>
                <w:sz w:val="18"/>
                <w:szCs w:val="18"/>
                <w:color w:val="auto"/>
                <w:w w:val="79"/>
              </w:rPr>
              <w:t>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Reportable Segments</w:t>
            </w:r>
          </w:p>
        </w:tc>
        <w:tc>
          <w:tcPr>
            <w:tcW w:w="3460" w:type="dxa"/>
            <w:vAlign w:val="bottom"/>
            <w:shd w:val="clear" w:color="auto" w:fill="CCEEFF"/>
          </w:tcPr>
          <w:p>
            <w:pPr>
              <w:jc w:val="center"/>
              <w:ind w:left="2370"/>
              <w:spacing w:after="0"/>
              <w:rPr>
                <w:sz w:val="20"/>
                <w:szCs w:val="20"/>
                <w:color w:val="auto"/>
              </w:rPr>
            </w:pPr>
            <w:r>
              <w:rPr>
                <w:rFonts w:ascii="Arial" w:cs="Arial" w:eastAsia="Arial" w:hAnsi="Arial"/>
                <w:sz w:val="18"/>
                <w:szCs w:val="18"/>
                <w:color w:val="auto"/>
                <w:w w:val="79"/>
              </w:rPr>
              <w:t>7</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Backbone</w:t>
            </w:r>
          </w:p>
        </w:tc>
        <w:tc>
          <w:tcPr>
            <w:tcW w:w="3460" w:type="dxa"/>
            <w:vAlign w:val="bottom"/>
          </w:tcPr>
          <w:p>
            <w:pPr>
              <w:jc w:val="center"/>
              <w:ind w:left="2370"/>
              <w:spacing w:after="0"/>
              <w:rPr>
                <w:sz w:val="20"/>
                <w:szCs w:val="20"/>
                <w:color w:val="auto"/>
              </w:rPr>
            </w:pPr>
            <w:r>
              <w:rPr>
                <w:rFonts w:ascii="Arial" w:cs="Arial" w:eastAsia="Arial" w:hAnsi="Arial"/>
                <w:sz w:val="18"/>
                <w:szCs w:val="18"/>
                <w:color w:val="auto"/>
                <w:w w:val="79"/>
              </w:rPr>
              <w:t>7</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Volta</w:t>
            </w:r>
          </w:p>
        </w:tc>
        <w:tc>
          <w:tcPr>
            <w:tcW w:w="3460" w:type="dxa"/>
            <w:vAlign w:val="bottom"/>
            <w:shd w:val="clear" w:color="auto" w:fill="CCEEFF"/>
          </w:tcPr>
          <w:p>
            <w:pPr>
              <w:jc w:val="center"/>
              <w:ind w:left="2370"/>
              <w:spacing w:after="0"/>
              <w:rPr>
                <w:sz w:val="20"/>
                <w:szCs w:val="20"/>
                <w:color w:val="auto"/>
              </w:rPr>
            </w:pPr>
            <w:r>
              <w:rPr>
                <w:rFonts w:ascii="Arial" w:cs="Arial" w:eastAsia="Arial" w:hAnsi="Arial"/>
                <w:sz w:val="18"/>
                <w:szCs w:val="18"/>
                <w:color w:val="auto"/>
                <w:w w:val="79"/>
              </w:rPr>
              <w:t>8</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Selected Quarterly Information</w:t>
            </w:r>
          </w:p>
        </w:tc>
        <w:tc>
          <w:tcPr>
            <w:tcW w:w="3460" w:type="dxa"/>
            <w:vAlign w:val="bottom"/>
          </w:tcPr>
          <w:p>
            <w:pPr>
              <w:jc w:val="center"/>
              <w:ind w:left="2370"/>
              <w:spacing w:after="0"/>
              <w:rPr>
                <w:sz w:val="20"/>
                <w:szCs w:val="20"/>
                <w:color w:val="auto"/>
              </w:rPr>
            </w:pPr>
            <w:r>
              <w:rPr>
                <w:rFonts w:ascii="Arial" w:cs="Arial" w:eastAsia="Arial" w:hAnsi="Arial"/>
                <w:sz w:val="18"/>
                <w:szCs w:val="18"/>
                <w:color w:val="auto"/>
                <w:w w:val="79"/>
              </w:rPr>
              <w:t>9</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Liquidity and Capital Resources</w:t>
            </w:r>
          </w:p>
        </w:tc>
        <w:tc>
          <w:tcPr>
            <w:tcW w:w="3460" w:type="dxa"/>
            <w:vAlign w:val="bottom"/>
            <w:shd w:val="clear" w:color="auto" w:fill="CCEEFF"/>
          </w:tcPr>
          <w:p>
            <w:pPr>
              <w:jc w:val="center"/>
              <w:ind w:left="2370"/>
              <w:spacing w:after="0"/>
              <w:rPr>
                <w:sz w:val="20"/>
                <w:szCs w:val="20"/>
                <w:color w:val="auto"/>
              </w:rPr>
            </w:pPr>
            <w:r>
              <w:rPr>
                <w:rFonts w:ascii="Arial" w:cs="Arial" w:eastAsia="Arial" w:hAnsi="Arial"/>
                <w:sz w:val="18"/>
                <w:szCs w:val="18"/>
                <w:color w:val="auto"/>
                <w:w w:val="79"/>
              </w:rPr>
              <w:t>9</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Cash Flows</w:t>
            </w:r>
          </w:p>
        </w:tc>
        <w:tc>
          <w:tcPr>
            <w:tcW w:w="3460" w:type="dxa"/>
            <w:vAlign w:val="bottom"/>
          </w:tcPr>
          <w:p>
            <w:pPr>
              <w:jc w:val="center"/>
              <w:ind w:left="2370"/>
              <w:spacing w:after="0"/>
              <w:rPr>
                <w:sz w:val="20"/>
                <w:szCs w:val="20"/>
                <w:color w:val="auto"/>
              </w:rPr>
            </w:pPr>
            <w:r>
              <w:rPr>
                <w:rFonts w:ascii="Arial" w:cs="Arial" w:eastAsia="Arial" w:hAnsi="Arial"/>
                <w:sz w:val="18"/>
                <w:szCs w:val="18"/>
                <w:color w:val="auto"/>
                <w:w w:val="79"/>
              </w:rPr>
              <w:t>9</w:t>
            </w:r>
          </w:p>
        </w:tc>
      </w:tr>
      <w:tr>
        <w:trPr>
          <w:trHeight w:val="216"/>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Working Capital</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10</w:t>
            </w: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Capital Resources</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89"/>
              </w:rPr>
              <w:t>10</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12</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Off-Balance Sheet Arrangements</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89"/>
              </w:rPr>
              <w:t>12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&amp; Risks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12</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Risk Factors</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89"/>
              </w:rPr>
              <w:t>15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Transactions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Recent and Subsequent Events</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89"/>
              </w:rPr>
              <w:t>15</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Significant Accounting Policies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16</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Caution Regarding Forward-Looking Statements</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89"/>
              </w:rPr>
              <w:t>16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Caution Regarding Non-IFRS Financial Performance Measures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17</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3460" w:type="dxa"/>
            <w:vAlign w:val="bottom"/>
          </w:tcPr>
          <w:p>
            <w:pPr>
              <w:jc w:val="center"/>
              <w:ind w:left="2390"/>
              <w:spacing w:after="0"/>
              <w:rPr>
                <w:sz w:val="20"/>
                <w:szCs w:val="20"/>
                <w:color w:val="auto"/>
              </w:rPr>
            </w:pPr>
            <w:r>
              <w:rPr>
                <w:rFonts w:ascii="Arial" w:cs="Arial" w:eastAsia="Arial" w:hAnsi="Arial"/>
                <w:sz w:val="18"/>
                <w:szCs w:val="18"/>
                <w:color w:val="auto"/>
                <w:w w:val="89"/>
              </w:rPr>
              <w:t>18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Glossary of Terms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89"/>
              </w:rPr>
              <w:t>18</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Management’s Discussion and Analysis (“MD&amp;A”) for Bitfarms Ltd. (together with its subsidiaries, the “Company” or “Bitfarms”), dated August 16, 2021, should be read in conjunction with the Company’s second quarter 2021 unaudited interim period condensed consolidated financial statements and its accompanying notes, and the 2020 audited annual consolidated financial statements and its accompanying notes. In addition, the following MD&amp;A should be read in conjunction with the Company’s “Caution Regarding Forward-Looking Statements” section of this MD&amp;A.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second quarter 2021 unaudited interim period condensed consolidated financial statements and the accompanying notes have been prepared in accordance with International Financial Reporting Standards (“IFRS”) as issued by the International Accounting Standards Board (“IASB”), including IAS 34. The Company’s second quarter 2021 unaudited interim period condensed consolidated financial statements and this MD&amp;A are reported in US dollars, except where otherwise noted.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Hosting Solutions Inc. (“Backbone”) and 9159-9290 Quebec Inc. (Volta Electrique, “Volta”).</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Backbone owns and operates server farms, comprised of computers (referred to as a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“Mining”). Backbone accumulates its cryptocurrencies mined or exchanges them for U.S. dollars, as needed, through reputable and established cryptocurrency trading platforms.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Bitfarms operates five server farm facilities in Québec, Canada, with electrical infrastructure capacity of 69 MW for Mining Bitcoin. The Company has contracts securing an aggregate of 160 MW of hydro-electric green energy in Quebec. In addition, Bitfarms owns proprietary software that is used to control, manage, report and secure Mining operations. The software scans and reports the location, computing power and temperature of all Miners at regular intervals to allow the Company to monitor performance and ensure Miners are operating at maximum capacity and up-time.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Volta assists Bitfarms in building and maintaining its server farms and provides electrician services to both commercial and residential customers in Quebec.</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4"/>
          </w:tcPr>
          <w:p>
            <w:pPr>
              <w:spacing w:after="0"/>
              <w:rPr>
                <w:sz w:val="20"/>
                <w:szCs w:val="20"/>
                <w:color w:val="auto"/>
              </w:rPr>
            </w:pPr>
            <w:r>
              <w:rPr>
                <w:rFonts w:ascii="Arial" w:cs="Arial" w:eastAsia="Arial" w:hAnsi="Arial"/>
                <w:sz w:val="18"/>
                <w:szCs w:val="18"/>
                <w:color w:val="auto"/>
              </w:rPr>
              <w:t>Consolidated Results of Operations</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w w:val="97"/>
              </w:rPr>
              <w:t>(U.S.$ in thousands except</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12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3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120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June 30</w:t>
            </w:r>
          </w:p>
        </w:tc>
        <w:tc>
          <w:tcPr>
            <w:tcW w:w="8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June 30</w:t>
            </w:r>
          </w:p>
        </w:tc>
        <w:tc>
          <w:tcPr>
            <w:tcW w:w="8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Change</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3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36,687</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65,119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48,535</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7"/>
        </w:trPr>
        <w:tc>
          <w:tcPr>
            <w:tcW w:w="21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13,332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7,506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5,826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22,452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15,423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7,029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23,355</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23,489</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42,667</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i w:val="1"/>
                <w:iCs w:val="1"/>
                <w:color w:val="auto"/>
                <w:w w:val="79"/>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7"/>
              </w:rPr>
              <w:t>General and administrative</w:t>
            </w:r>
          </w:p>
        </w:tc>
        <w:tc>
          <w:tcPr>
            <w:tcW w:w="8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120" w:type="dxa"/>
            <w:vAlign w:val="bottom"/>
            <w:gridSpan w:val="2"/>
            <w:vMerge w:val="continue"/>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10,607</w:t>
            </w: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13,426</w:t>
            </w: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00" w:type="dxa"/>
            <w:vAlign w:val="bottom"/>
            <w:gridSpan w:val="2"/>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160" w:type="dxa"/>
            <w:vAlign w:val="bottom"/>
            <w:gridSpan w:val="2"/>
            <w:vMerge w:val="continue"/>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4,176</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Gain on disposition of</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(47)</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(25)</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digital assets</w:t>
            </w:r>
          </w:p>
        </w:tc>
        <w:tc>
          <w:tcPr>
            <w:tcW w:w="1200" w:type="dxa"/>
            <w:vAlign w:val="bottom"/>
            <w:gridSpan w:val="2"/>
            <w:vMerge w:val="continue"/>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160" w:type="dxa"/>
            <w:vAlign w:val="bottom"/>
            <w:gridSpan w:val="2"/>
            <w:vMerge w:val="continue"/>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on revaluation of</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14,885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14,885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gridSpan w:val="2"/>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(2,090)</w:t>
            </w:r>
          </w:p>
        </w:tc>
        <w:tc>
          <w:tcPr>
            <w:tcW w:w="36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(1,482)</w:t>
            </w:r>
          </w:p>
        </w:tc>
        <w:tc>
          <w:tcPr>
            <w:tcW w:w="32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(608)</w:t>
            </w:r>
          </w:p>
        </w:tc>
        <w:tc>
          <w:tcPr>
            <w:tcW w:w="220" w:type="dxa"/>
            <w:vAlign w:val="bottom"/>
            <w:vMerge w:val="continue"/>
          </w:tcPr>
          <w:p>
            <w:pPr>
              <w:spacing w:after="0"/>
              <w:rPr>
                <w:sz w:val="17"/>
                <w:szCs w:val="17"/>
                <w:color w:val="auto"/>
              </w:rPr>
            </w:pPr>
          </w:p>
        </w:tc>
        <w:tc>
          <w:tcPr>
            <w:tcW w:w="12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41%</w:t>
            </w: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14,381</w:t>
            </w:r>
          </w:p>
        </w:tc>
        <w:tc>
          <w:tcPr>
            <w:tcW w:w="30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(2,992)</w:t>
            </w:r>
          </w:p>
        </w:tc>
        <w:tc>
          <w:tcPr>
            <w:tcW w:w="32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17,373</w:t>
            </w:r>
          </w:p>
        </w:tc>
        <w:tc>
          <w:tcPr>
            <w:tcW w:w="220" w:type="dxa"/>
            <w:vAlign w:val="bottom"/>
            <w:vMerge w:val="continue"/>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Loss (gain) on disposition</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(146)</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(165)</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of PP&amp;E</w:t>
            </w:r>
          </w:p>
        </w:tc>
        <w:tc>
          <w:tcPr>
            <w:tcW w:w="1200" w:type="dxa"/>
            <w:vAlign w:val="bottom"/>
            <w:gridSpan w:val="2"/>
            <w:vMerge w:val="continue"/>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707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160" w:type="dxa"/>
            <w:vAlign w:val="bottom"/>
            <w:gridSpan w:val="2"/>
            <w:vMerge w:val="continue"/>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24,552</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Net loss before income</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(3,071)</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(10,006)</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taxes</w:t>
            </w:r>
          </w:p>
        </w:tc>
        <w:tc>
          <w:tcPr>
            <w:tcW w:w="1200" w:type="dxa"/>
            <w:vAlign w:val="bottom"/>
            <w:gridSpan w:val="2"/>
            <w:vMerge w:val="continue"/>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160" w:type="dxa"/>
            <w:vAlign w:val="bottom"/>
            <w:gridSpan w:val="2"/>
            <w:vMerge w:val="continue"/>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(6,266)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(3,740)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expense</w:t>
            </w:r>
          </w:p>
        </w:tc>
        <w:tc>
          <w:tcPr>
            <w:tcW w:w="12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604</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1,274</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(recovery)</w:t>
            </w:r>
          </w:p>
        </w:tc>
        <w:tc>
          <w:tcPr>
            <w:tcW w:w="1200" w:type="dxa"/>
            <w:vAlign w:val="bottom"/>
            <w:gridSpan w:val="2"/>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nm</w:t>
            </w:r>
          </w:p>
        </w:tc>
        <w:tc>
          <w:tcPr>
            <w:tcW w:w="1160" w:type="dxa"/>
            <w:vAlign w:val="bottom"/>
            <w:gridSpan w:val="2"/>
            <w:vMerge w:val="continue"/>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(3,675)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(11,280)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(6,154)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(5,126)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loss</w:t>
            </w:r>
          </w:p>
        </w:tc>
        <w:tc>
          <w:tcPr>
            <w:tcW w:w="12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(0.02)</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(0.08)</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1200" w:type="dxa"/>
            <w:vAlign w:val="bottom"/>
            <w:gridSpan w:val="2"/>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vMerge w:val="continue"/>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Revaluation loss on digital</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(5,128)</w:t>
            </w: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(5,128)</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assets (net of tax)</w:t>
            </w:r>
          </w:p>
        </w:tc>
        <w:tc>
          <w:tcPr>
            <w:tcW w:w="12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(8,803)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(11,280)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line="250" w:lineRule="exact"/>
              <w:rPr>
                <w:sz w:val="20"/>
                <w:szCs w:val="20"/>
                <w:color w:val="auto"/>
              </w:rPr>
            </w:pPr>
            <w:r>
              <w:rPr>
                <w:rFonts w:ascii="Arial" w:cs="Arial" w:eastAsia="Arial" w:hAnsi="Arial"/>
                <w:sz w:val="17"/>
                <w:szCs w:val="17"/>
                <w:color w:val="auto"/>
              </w:rPr>
              <w:t xml:space="preserve">Gross mining profit </w:t>
            </w:r>
            <w:r>
              <w:rPr>
                <w:rFonts w:ascii="Arial" w:cs="Arial" w:eastAsia="Arial" w:hAnsi="Arial"/>
                <w:sz w:val="28"/>
                <w:szCs w:val="28"/>
                <w:color w:val="auto"/>
                <w:vertAlign w:val="superscript"/>
              </w:rPr>
              <w:t>(1)</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2"/>
            <w:vMerge w:val="continue"/>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28,064</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2,506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25,558</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nm</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50,334</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6,602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43,732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57"/>
        </w:trPr>
        <w:tc>
          <w:tcPr>
            <w:tcW w:w="2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2,746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416</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(283)</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2,249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7"/>
        </w:trPr>
        <w:tc>
          <w:tcPr>
            <w:tcW w:w="2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23,827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1,435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22,392</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nm</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43,528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4,340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39,188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5"/>
        </w:trPr>
        <w:tc>
          <w:tcPr>
            <w:tcW w:w="21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Adjusted EBITDA margin</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67%</w:t>
            </w: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nm: </w:t>
      </w: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2021 Financial Results and Operational Highlights:</w:t>
      </w:r>
    </w:p>
    <w:p>
      <w:pPr>
        <w:spacing w:after="0" w:line="225" w:lineRule="exact"/>
        <w:rPr>
          <w:sz w:val="20"/>
          <w:szCs w:val="20"/>
          <w:color w:val="auto"/>
        </w:rPr>
      </w:pPr>
    </w:p>
    <w:p>
      <w:pPr>
        <w:ind w:left="380" w:right="100" w:hanging="372"/>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Revenues of $36.7 million; gross profit of $23.4 million (64% gross margin), operating loss of $2.1 million (-6% operating margin), and net loss of $3.7 million;</w:t>
      </w:r>
    </w:p>
    <w:p>
      <w:pPr>
        <w:spacing w:after="0" w:line="177"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$28.1 million (79% gross mining margin);</w:t>
      </w:r>
    </w:p>
    <w:p>
      <w:pPr>
        <w:spacing w:after="0" w:line="105" w:lineRule="exact"/>
        <w:rPr>
          <w:rFonts w:ascii="Arial" w:cs="Arial" w:eastAsia="Arial" w:hAnsi="Arial"/>
          <w:sz w:val="36"/>
          <w:szCs w:val="36"/>
          <w:color w:val="auto"/>
          <w:vertAlign w:val="superscript"/>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of $23.8 million (65% Adjusted EBITDA margin);</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of $2.7 million (7% EBITDA margin);</w:t>
      </w:r>
    </w:p>
    <w:p>
      <w:pPr>
        <w:spacing w:after="0" w:line="255" w:lineRule="exact"/>
        <w:rPr>
          <w:rFonts w:ascii="Arial" w:cs="Arial" w:eastAsia="Arial" w:hAnsi="Arial"/>
          <w:sz w:val="18"/>
          <w:szCs w:val="18"/>
          <w:color w:val="auto"/>
        </w:rPr>
      </w:pPr>
    </w:p>
    <w:p>
      <w:pPr>
        <w:ind w:left="380" w:hanging="372"/>
        <w:spacing w:after="0" w:line="186" w:lineRule="auto"/>
        <w:tabs>
          <w:tab w:leader="none" w:pos="38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Mined 759 Bitcoin with an average cost of approximately $9,000 per Bitcoin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held 1,293 Bitcoin valued at approximately $45.3 million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1"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mining profit, Gross mining margin, EBITDA, EBITDA margin, Adjusted EBITDA and Adjusted EBITDA margin, are non-IFRS performance measures; please refer to the Non-IFRS Financial Performance Measures section of this MD&amp;A.</w:t>
      </w:r>
    </w:p>
    <w:p>
      <w:pPr>
        <w:spacing w:after="0" w:line="157" w:lineRule="exact"/>
        <w:rPr>
          <w:sz w:val="20"/>
          <w:szCs w:val="20"/>
          <w:color w:val="auto"/>
        </w:rPr>
      </w:pPr>
    </w:p>
    <w:p>
      <w:pPr>
        <w:ind w:left="340" w:hanging="332"/>
        <w:spacing w:after="0" w:line="194"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Represents the direct cost of Bitcoin based on the total electricity costs and hosting costs related to the Mining of Bitcoin, excluding electricity consumed by hosting clients, divided by the total number of Bitcoin mined.</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362"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80" w:right="2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Received and installed 3,461 Miners during the quarter, including the replacement of certain older generation Miners, resulting in a net increase of approximately 240 PH/s.</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a $75M CAD private placement and used the proceeds mainly to place deposits to secure orders for 7,300 Bitmain Miners and 48,000 MicroBT Miners, with expected deliveries in 2021 and 2022, respectively; and</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Commenced trading on Nasdaq under the symbol “BITF” on June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were $36.7 million for the three month period ended June 30, 2021 (“Q2 2021”) compared to $7.4 million for the same three month period in 2020 (“Q2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Bitcoin</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(USD)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2"/>
        </w:trPr>
        <w:tc>
          <w:tcPr>
            <w:tcW w:w="58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Revenues during the three-month period ended June 30, 2020 and Volta</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w w:val="92"/>
              </w:rPr>
              <w:t>Impact of increase in average Bitfarms’ Bitcoin hashrate in excess of increase 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network difficulty during Q2 2021 compared to Q2 2020, adjusted for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Bitcoin Halving Event</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2,149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5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Impact of Bitcoin Halving Event on May 11, 2020 on Bitfarms’ quantity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coins mined during Q2 2021</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w w:val="95"/>
              </w:rPr>
              <w:t>Impact of difference in average Bitcoin price in Q2 2021 compared to Q2 2020</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41,126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Revenues for three months ended June 30, 2021</w:t>
            </w: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36,687</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Calculated as the difference in theoretical Bitcoin mined in Q2 2021 assuming the Bitcoin Halving Event did not occur, compared to Q2 2020 multiplied by Q2 2020 average Bitcoin price</w:t>
      </w:r>
    </w:p>
    <w:p>
      <w:pPr>
        <w:spacing w:after="0" w:line="170" w:lineRule="exact"/>
        <w:rPr>
          <w:sz w:val="20"/>
          <w:szCs w:val="20"/>
          <w:color w:val="auto"/>
        </w:rPr>
      </w:pPr>
    </w:p>
    <w:p>
      <w:pPr>
        <w:ind w:left="340" w:right="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as the theoretical Bitcoin mined based on Bitfarms’ actual hashrate during Q2 2021 assuming the Bitcoin Halving Event did not occur, compared to actual coins mined during the same period multiplied by average Bitcoin price</w:t>
      </w:r>
    </w:p>
    <w:p>
      <w:pPr>
        <w:spacing w:after="0" w:line="170" w:lineRule="exact"/>
        <w:rPr>
          <w:sz w:val="20"/>
          <w:szCs w:val="20"/>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Q2 2021 compared to Q2 2020 multiplied by Bitcoin mined in Q2 2021 plus the reduction in Bitcoin mined as a result of the Bitcoin Halving even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increase to Bitfarms’ revenues in Q2 2021, compared to Q2 2020, are presented in the table above. Revenues increased mostly due to the increase in average Bitcoin price and the increase in Bitfarms’ hashrate in excess of network difficulty, partially negated by the Bitcoin Halving Event.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were $65.1 million for the six month period ended June 30, 2021 (“YTD Q2 2021”) compared to $16.6 million for the same six month period in 2020 (“YTD Q2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Bitcoin</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(USD)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Revenues during the six-month period ended June 30, 2020 and Volta revenues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w w:val="92"/>
              </w:rPr>
              <w:t>Impact of increase in average Bitfarms’ Bitcoin hashrate in excess of increase 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w w:val="95"/>
              </w:rPr>
              <w:t>network difficulty during YTD Q2 2021 compared to YTD Q2 2020, adjusted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for Bitcoin Halving Event</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2,491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5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Impact of Bitcoin Halving Event on May 11, 2020 on Bitfarms’ quantity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coins mined during Q2 2021</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(38,988)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Impact of difference in average Bitcoin price in YTD Q2 2021 compared to</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YTD Q2 2020</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83,291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mining variance and change in Volta revenues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Revenues for six months ended June 30, 2021</w:t>
            </w: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1,357</w:t>
            </w:r>
          </w:p>
        </w:tc>
        <w:tc>
          <w:tcPr>
            <w:tcW w:w="22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65,119</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as the difference in theoretical Bitcoin mined in YTD Q2 2021 assuming the Bitcoin Halving Event did not occur, compared to YTD Q2 2020 multiplied by YTD Q2 2020 average Bitcoin price</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Calculated as the theoretical Bitcoin mined based on Bitfarms’ actual hashrate from May 11, 2020 to June 30, 2021 assuming the Bitcoin Halving Event did not occur, compared to actual coins mined during the same period multiplied by average Bitcoin price</w:t>
      </w:r>
    </w:p>
    <w:p>
      <w:pPr>
        <w:spacing w:after="0" w:line="170"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YTD Q2 2021 compared to YTD Q2 2020 multiplied by Bitcoins mined and sold in Q2 2021 plus the reduction in Bitcoin mined as a result of the Bitcoin Halving event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increase to Bitfarms’ revenues in YTD Q2 2021, compared to YTD Q2 2020, are presented in the table above. Revenues increased mostly due to the increase in average Bitcoin price and in Bitfarms’ hashrate in excess of network difficulty, partially negated by the Bitcoin Halving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Bitfarms’ cost of sales for Q2 2021 was $13.3 million compared to $7.5 million in Q2 2020. Cost of sales includes energy and infrastructure expenses, depreciation and amortization, electrician salaries, purchases and net change in inventory. The increase in cost of sales was mainly due to the increase in energy and infrastructure expenses and depreciation and amortization expense. Energy and infrastructure increased by $3.1 million, or 71%, partially due to the Company adding new Miners, which increased electrical consumption to an average of 64 MW during the quarter, compared to 48 MW for the same period in 2020. The remaining difference resulted from the Company entering into certain hosting agreements where a third party operated the Company’s equipment which added $1.2 million to Cost of Sales in Q2 2021 compared to Q2 2020. Depreciation and amortization expense increased by $2.2 million as the Company added new Miners and electrical infrastructure.</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Bitfarms’ cost of sales for the six months ended June 30, 2021, was $22.5 million compared to $15.4 million for the same period in 2020. The increase in cost of sales was mainly due to the increase in energy and infrastructure expenses and depreciation and amortization expense. Energy and infrastructure increased by $4.0 million, or 45%, partially due to the Company adding new Miners, which increased electrical consumption to an average of 62 MW during the period, compared to 49 MW for the same period in 2020. The remaining difference resulted from the Company entering into certain hosting agreements where a third party operated the Company’s equipment which added $1.4 million to cost of sales in YTD 2021 compared to YTD 2020. Depreciation and amortization expense increased by $2.2 million as the Company added new Miners and electrical infrastructure.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general and administrative expenses were $10.6 million in Q2 2021, compared to $1.4 million in Q2 2020. The increase of $9.2 million, or 674%, in general and administrative expense was mainly due to a non-cash $6.1 million increase in share based payment expense in connection with the Company’s grant of 7,720,000 stock options in June 2021. Other factors contributing to the increase in general and administrative expenses in Q2 2021 compared to Q2 2020 were a $2.0 million increase in professional and other fees, mainly in connection with the Company’s Nasdaq listing, and a $0.7 million increase in salaries expense as a result of hiring additional employees and implementing incentive plans, as well as no longer qualifying for the Canada Emergency Wage Subsidy (CEWS).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2021, Bitfarms’ general and administrative and other expenses stood at $13.4 million, compared to $4.2 million for the same period in 2020. The increase of $9.2 million, or 222%, in general and administrative expense was mainly due to a $5.5 million increase in non-cash share based payment expense in connection with the Company’s grant of 7,720,000 stock options in June 2021. Other factors contributing to the increase in general and administrative expenses in Q2 2021 compared to Q2 2020 were a $2.6 million increase in professional and other fees, mainly in connection with the Company’s Nasdaq listing, and a $0.7 million increase in salaries expense as a result of hiring additional employees and implementing incentive plans, as well as no longer qualifying for the CEWS.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financial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net financial expenses for Q2 2021 were $1.1 million compared to net financial expenses of $1.5 million in Q2 2020. The $0.4 million decrease was primarily related to a decrease of $0.9 million in interest on long-term debt, mainly due to repayment of the Dominion loan in Q1 2021, partially offset by new long-term debt related to equipment financing. The $0.9 million decrease in interest on long-term debt was offset by a $0.4 increase in interest on lease liabilities, mainly related to equipment financed through lease agreements.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Bitfarms’ net financial expenses for the six months ended June 30, 2021 were $24.6 million compared to $2.6 million for the six months ended June 30, 2020. The $22.0 million increase in net financial expenses was mainly due to a non-cash $19.5 million loss recorded on revaluation of warrants in Q1 2021. The warrants were issued in connection with the private placement that closed on January 7, 2021 and which had a strike price denominated in Canadian dollars, whereas the Company’s functional currency is the U.S. dollar. Fluctuations in the Canadian to U.S. dollar exchange rate could result in the Company receiving a variable amount of cash in its functional currency in exchange for the exercise of the warrants. The possibility of variation in the settlement price in the Company’s functional currency requires under IFRS that the warrants be classified as a liability that is measured at fair value through profit or loss. The strong performance of the Company’s share price in Q1 2021 resulted in a higher value being attributed to the warrant liability and the common shares issued in settlement of the liability, resulting in the non-cash loss described above. All warrants that were classified at fair value through profit or loss have been exercised as of Q1 2021, as a result this expense is non-recurring. In addition, there was a $2.6 million loss on revaluation of an embedded derivative recorded in Q1 2021 due to the early retirement of the Dominion Capital loan, compared to a $0.1 million gain on revaluation of the same embedded derivative in Q2 2020. The embedded derivative was derecognized in Q1 2021 when the Company retired the loan with Dominion Capital. Interest on long-term debt for YTD Q2 2021 decreased by $1.7 million compared to YTD Q2 2020 as a result of the repayment of the Dominion loan, but was offset by a $0.7 million increase in interest on lease liabilities, mainly related to equipment financed through lease agreements, and a $0.7 million increase in warrant issuance costs in connection with the private placement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Non-IFRS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EBITDA and Adjusted EBITDA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(U.S.$ in thousands except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8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20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Six months ended</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For the periods ended</w:t>
            </w:r>
          </w:p>
        </w:tc>
        <w:tc>
          <w:tcPr>
            <w:tcW w:w="1100" w:type="dxa"/>
            <w:vAlign w:val="bottom"/>
            <w:tcBorders>
              <w:top w:val="single" w:sz="8" w:color="auto"/>
            </w:tcBorders>
            <w:gridSpan w:val="2"/>
          </w:tcPr>
          <w:p>
            <w:pPr>
              <w:jc w:val="right"/>
              <w:ind w:right="360"/>
              <w:spacing w:after="0" w:line="201" w:lineRule="exact"/>
              <w:rPr>
                <w:sz w:val="20"/>
                <w:szCs w:val="20"/>
                <w:color w:val="auto"/>
              </w:rPr>
            </w:pPr>
            <w:r>
              <w:rPr>
                <w:rFonts w:ascii="Arial" w:cs="Arial" w:eastAsia="Arial" w:hAnsi="Arial"/>
                <w:sz w:val="18"/>
                <w:szCs w:val="18"/>
                <w:b w:val="1"/>
                <w:bCs w:val="1"/>
                <w:color w:val="auto"/>
              </w:rPr>
              <w:t>June 30</w:t>
            </w:r>
          </w:p>
        </w:tc>
        <w:tc>
          <w:tcPr>
            <w:tcW w:w="90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281"/>
              <w:spacing w:after="0" w:line="201" w:lineRule="exact"/>
              <w:rPr>
                <w:sz w:val="20"/>
                <w:szCs w:val="20"/>
                <w:color w:val="auto"/>
              </w:rPr>
            </w:pPr>
            <w:r>
              <w:rPr>
                <w:rFonts w:ascii="Arial" w:cs="Arial" w:eastAsia="Arial" w:hAnsi="Arial"/>
                <w:sz w:val="18"/>
                <w:szCs w:val="18"/>
                <w:b w:val="1"/>
                <w:bCs w:val="1"/>
                <w:color w:val="auto"/>
              </w:rPr>
              <w:t>June 30</w:t>
            </w:r>
          </w:p>
        </w:tc>
        <w:tc>
          <w:tcPr>
            <w:tcW w:w="88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indicated</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Change</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3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Change</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1,795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2,785</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9"/>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2,170</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79%</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7,928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5,730</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EBITDA</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2,746</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2,330</w:t>
            </w:r>
          </w:p>
        </w:tc>
        <w:tc>
          <w:tcPr>
            <w:tcW w:w="22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560</w:t>
            </w:r>
          </w:p>
        </w:tc>
        <w:tc>
          <w:tcPr>
            <w:tcW w:w="340" w:type="dxa"/>
            <w:vAlign w:val="bottom"/>
            <w:tcBorders>
              <w:top w:val="single" w:sz="8" w:color="CCEEFF"/>
              <w:bottom w:val="single" w:sz="8" w:color="CCEEFF"/>
            </w:tcBorders>
          </w:tcPr>
          <w:p>
            <w:pPr>
              <w:jc w:val="right"/>
              <w:ind w:right="90"/>
              <w:spacing w:after="0" w:line="203" w:lineRule="exact"/>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2,249</w:t>
            </w:r>
          </w:p>
        </w:tc>
        <w:tc>
          <w:tcPr>
            <w:tcW w:w="22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w w:val="99"/>
              </w:rPr>
              <w:t>Loss on revaluation of digital</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14,885</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vMerge w:val="restart"/>
          </w:tcPr>
          <w:p>
            <w:pPr>
              <w:jc w:val="right"/>
              <w:ind w:right="141"/>
              <w:spacing w:after="0"/>
              <w:rPr>
                <w:sz w:val="20"/>
                <w:szCs w:val="20"/>
                <w:color w:val="auto"/>
              </w:rPr>
            </w:pPr>
            <w:r>
              <w:rPr>
                <w:rFonts w:ascii="Arial" w:cs="Arial" w:eastAsia="Arial" w:hAnsi="Arial"/>
                <w:sz w:val="18"/>
                <w:szCs w:val="18"/>
                <w:b w:val="1"/>
                <w:bCs w:val="1"/>
                <w:color w:val="auto"/>
              </w:rPr>
              <w:t>14,885</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100" w:type="dxa"/>
            <w:vAlign w:val="bottom"/>
            <w:gridSpan w:val="2"/>
            <w:vMerge w:val="continue"/>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14,885</w:t>
            </w: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100%</w:t>
            </w:r>
          </w:p>
        </w:tc>
        <w:tc>
          <w:tcPr>
            <w:tcW w:w="1100" w:type="dxa"/>
            <w:vAlign w:val="bottom"/>
            <w:gridSpan w:val="2"/>
            <w:vMerge w:val="continue"/>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14,885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Financial expenses (income)</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(146)</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other</w:t>
            </w:r>
          </w:p>
        </w:tc>
        <w:tc>
          <w:tcPr>
            <w:tcW w:w="1100" w:type="dxa"/>
            <w:vAlign w:val="bottom"/>
            <w:gridSpan w:val="2"/>
            <w:vMerge w:val="continue"/>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1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22,164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21,337</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3"/>
        </w:trPr>
        <w:tc>
          <w:tcPr>
            <w:tcW w:w="22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Adjusted EBITDA</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23,827</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1,435</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22,392</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43,528</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4,340</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39,188</w:t>
            </w: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903</w:t>
            </w:r>
          </w:p>
        </w:tc>
        <w:tc>
          <w:tcPr>
            <w:tcW w:w="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gridSpan w:val="8"/>
          </w:tcPr>
          <w:p>
            <w:pPr>
              <w:spacing w:after="0"/>
              <w:rPr>
                <w:sz w:val="20"/>
                <w:szCs w:val="20"/>
                <w:color w:val="auto"/>
              </w:rPr>
            </w:pPr>
            <w:r>
              <w:rPr>
                <w:rFonts w:ascii="Arial" w:cs="Arial" w:eastAsia="Arial" w:hAnsi="Arial"/>
                <w:sz w:val="18"/>
                <w:szCs w:val="18"/>
                <w:b w:val="1"/>
                <w:bCs w:val="1"/>
                <w:color w:val="auto"/>
              </w:rPr>
              <w:t>Calculation of Gross Mining Profit &amp; Gross Mining Margin</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0" w:type="dxa"/>
            <w:vAlign w:val="bottom"/>
            <w:gridSpan w:val="2"/>
          </w:tcPr>
          <w:p>
            <w:pPr>
              <w:spacing w:after="0"/>
              <w:rPr>
                <w:sz w:val="20"/>
                <w:szCs w:val="20"/>
                <w:color w:val="auto"/>
              </w:rPr>
            </w:pPr>
            <w:r>
              <w:rPr>
                <w:rFonts w:ascii="Arial" w:cs="Arial" w:eastAsia="Arial" w:hAnsi="Arial"/>
                <w:sz w:val="18"/>
                <w:szCs w:val="18"/>
                <w:color w:val="auto"/>
                <w:w w:val="98"/>
              </w:rPr>
              <w:t>(U.S. $ in thousands except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0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280" w:type="dxa"/>
            <w:vAlign w:val="bottom"/>
            <w:gridSpan w:val="4"/>
          </w:tcPr>
          <w:p>
            <w:pPr>
              <w:jc w:val="right"/>
              <w:ind w:right="401"/>
              <w:spacing w:after="0"/>
              <w:rPr>
                <w:sz w:val="20"/>
                <w:szCs w:val="20"/>
                <w:color w:val="auto"/>
              </w:rPr>
            </w:pPr>
            <w:r>
              <w:rPr>
                <w:rFonts w:ascii="Arial" w:cs="Arial" w:eastAsia="Arial" w:hAnsi="Arial"/>
                <w:sz w:val="18"/>
                <w:szCs w:val="18"/>
                <w:b w:val="1"/>
                <w:bCs w:val="1"/>
                <w:color w:val="auto"/>
              </w:rPr>
              <w:t>Three months ended</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Six months ended</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200" w:type="dxa"/>
            <w:vAlign w:val="bottom"/>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June 30</w:t>
            </w:r>
          </w:p>
        </w:tc>
        <w:tc>
          <w:tcPr>
            <w:tcW w:w="8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June 30</w:t>
            </w:r>
          </w:p>
        </w:tc>
        <w:tc>
          <w:tcPr>
            <w:tcW w:w="8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1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Change</w:t>
            </w:r>
          </w:p>
        </w:tc>
        <w:tc>
          <w:tcPr>
            <w:tcW w:w="3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35,479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63,215</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6"/>
        </w:trPr>
        <w:tc>
          <w:tcPr>
            <w:tcW w:w="2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12,301</w:t>
            </w: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7,189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5,112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20,744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14,674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6,070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6"/>
        </w:trPr>
        <w:tc>
          <w:tcPr>
            <w:tcW w:w="2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23,178</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i w:val="1"/>
                <w:iCs w:val="1"/>
                <w:color w:val="auto"/>
                <w:w w:val="79"/>
              </w:rPr>
              <w:t>nm</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42,471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200" w:type="dxa"/>
            <w:vAlign w:val="bottom"/>
            <w:gridSpan w:val="2"/>
          </w:tcPr>
          <w:p>
            <w:pPr>
              <w:spacing w:after="0" w:line="176" w:lineRule="exact"/>
              <w:rPr>
                <w:sz w:val="20"/>
                <w:szCs w:val="20"/>
                <w:color w:val="auto"/>
              </w:rPr>
            </w:pPr>
            <w:r>
              <w:rPr>
                <w:rFonts w:ascii="Arial" w:cs="Arial" w:eastAsia="Arial" w:hAnsi="Arial"/>
                <w:sz w:val="18"/>
                <w:szCs w:val="18"/>
                <w:color w:val="auto"/>
              </w:rPr>
              <w:t>Depreciation and</w:t>
            </w: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4,886</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7,863</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1160" w:type="dxa"/>
            <w:vAlign w:val="bottom"/>
            <w:gridSpan w:val="2"/>
            <w:vMerge w:val="continue"/>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2,729</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180" w:type="dxa"/>
            <w:vAlign w:val="bottom"/>
            <w:gridSpan w:val="2"/>
            <w:vMerge w:val="continue"/>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5,682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2,181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Net change in inventory and</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Gross mining profit</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gridSpan w:val="2"/>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28,064</w:t>
            </w:r>
          </w:p>
        </w:tc>
        <w:tc>
          <w:tcPr>
            <w:tcW w:w="30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2,506</w:t>
            </w:r>
          </w:p>
        </w:tc>
        <w:tc>
          <w:tcPr>
            <w:tcW w:w="26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25,558</w:t>
            </w:r>
          </w:p>
        </w:tc>
        <w:tc>
          <w:tcPr>
            <w:tcW w:w="220" w:type="dxa"/>
            <w:vAlign w:val="bottom"/>
            <w:vMerge w:val="continue"/>
          </w:tcPr>
          <w:p>
            <w:pPr>
              <w:spacing w:after="0"/>
              <w:rPr>
                <w:sz w:val="17"/>
                <w:szCs w:val="17"/>
                <w:color w:val="auto"/>
              </w:rPr>
            </w:pPr>
          </w:p>
        </w:tc>
        <w:tc>
          <w:tcPr>
            <w:tcW w:w="880" w:type="dxa"/>
            <w:vAlign w:val="bottom"/>
          </w:tcPr>
          <w:p>
            <w:pPr>
              <w:ind w:left="660"/>
              <w:spacing w:after="0" w:line="203" w:lineRule="exact"/>
              <w:rPr>
                <w:sz w:val="20"/>
                <w:szCs w:val="20"/>
                <w:color w:val="auto"/>
              </w:rPr>
            </w:pPr>
            <w:r>
              <w:rPr>
                <w:rFonts w:ascii="Arial" w:cs="Arial" w:eastAsia="Arial" w:hAnsi="Arial"/>
                <w:sz w:val="18"/>
                <w:szCs w:val="18"/>
                <w:i w:val="1"/>
                <w:iCs w:val="1"/>
                <w:color w:val="auto"/>
                <w:w w:val="79"/>
              </w:rPr>
              <w:t>nm</w:t>
            </w:r>
          </w:p>
        </w:tc>
        <w:tc>
          <w:tcPr>
            <w:tcW w:w="32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50,334</w:t>
            </w:r>
          </w:p>
        </w:tc>
        <w:tc>
          <w:tcPr>
            <w:tcW w:w="30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6,602</w:t>
            </w:r>
          </w:p>
        </w:tc>
        <w:tc>
          <w:tcPr>
            <w:tcW w:w="26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43,732</w:t>
            </w:r>
          </w:p>
        </w:tc>
        <w:tc>
          <w:tcPr>
            <w:tcW w:w="220" w:type="dxa"/>
            <w:vAlign w:val="bottom"/>
            <w:vMerge w:val="continue"/>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mining margin</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mining profit” is defined as Gross profit excluding depreciation and amortization and net change in inventory and other minor items included in cost of sales for the Backbone segment of the Company. “Gross mining margin” is defined as the percentage obtained when dividing Gross mining profit by Revenues for the Backbone segment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Reportable Segments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Backbone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w w:val="94"/>
              </w:rPr>
              <w:t>(U.S. $ in thousands except</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12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0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2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20" w:type="dxa"/>
            <w:vAlign w:val="bottom"/>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8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7"/>
                <w:szCs w:val="17"/>
                <w:color w:val="auto"/>
              </w:rPr>
            </w:pPr>
          </w:p>
        </w:tc>
        <w:tc>
          <w:tcPr>
            <w:tcW w:w="8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8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indicated</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4"/>
              </w:rPr>
              <w:t>% Change</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35,479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63,215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62"/>
        </w:trPr>
        <w:tc>
          <w:tcPr>
            <w:tcW w:w="2120" w:type="dxa"/>
            <w:vAlign w:val="bottom"/>
            <w:gridSpan w:val="2"/>
            <w:vMerge w:val="restart"/>
          </w:tcPr>
          <w:p>
            <w:pPr>
              <w:spacing w:after="0"/>
              <w:rPr>
                <w:sz w:val="20"/>
                <w:szCs w:val="20"/>
                <w:color w:val="auto"/>
              </w:rPr>
            </w:pPr>
            <w:r>
              <w:rPr>
                <w:rFonts w:ascii="Arial" w:cs="Arial" w:eastAsia="Arial" w:hAnsi="Arial"/>
                <w:sz w:val="18"/>
                <w:szCs w:val="18"/>
                <w:color w:val="auto"/>
              </w:rPr>
              <w:t>Cost of sales</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12,301</w:t>
            </w: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7,189</w:t>
            </w:r>
          </w:p>
        </w:tc>
        <w:tc>
          <w:tcPr>
            <w:tcW w:w="32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5,112</w:t>
            </w:r>
          </w:p>
        </w:tc>
        <w:tc>
          <w:tcPr>
            <w:tcW w:w="1180" w:type="dxa"/>
            <w:vAlign w:val="bottom"/>
            <w:gridSpan w:val="2"/>
          </w:tcPr>
          <w:p>
            <w:pPr>
              <w:ind w:left="860"/>
              <w:spacing w:after="0" w:line="162" w:lineRule="exact"/>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20,744</w:t>
            </w: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14,674</w:t>
            </w:r>
          </w:p>
        </w:tc>
        <w:tc>
          <w:tcPr>
            <w:tcW w:w="3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6,070</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jc w:val="right"/>
              <w:spacing w:after="0" w:line="16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74"/>
        </w:trPr>
        <w:tc>
          <w:tcPr>
            <w:tcW w:w="212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80" w:type="dxa"/>
            <w:vAlign w:val="bottom"/>
            <w:gridSpan w:val="2"/>
          </w:tcPr>
          <w:p>
            <w:pPr>
              <w:jc w:val="right"/>
              <w:ind w:right="230"/>
              <w:spacing w:after="0" w:line="68" w:lineRule="exact"/>
              <w:rPr>
                <w:sz w:val="20"/>
                <w:szCs w:val="20"/>
                <w:color w:val="auto"/>
              </w:rPr>
            </w:pPr>
            <w:r>
              <w:rPr>
                <w:rFonts w:ascii="Arial" w:cs="Arial" w:eastAsia="Arial" w:hAnsi="Arial"/>
                <w:sz w:val="7"/>
                <w:szCs w:val="7"/>
                <w:color w:val="auto"/>
              </w:rPr>
              <w:t>71</w:t>
            </w: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23,178</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i w:val="1"/>
                <w:iCs w:val="1"/>
                <w:color w:val="auto"/>
                <w:w w:val="79"/>
              </w:rPr>
              <w:t>nm</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42,471</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2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w:t>
            </w:r>
          </w:p>
        </w:tc>
        <w:tc>
          <w:tcPr>
            <w:tcW w:w="340" w:type="dxa"/>
            <w:vAlign w:val="bottom"/>
          </w:tcPr>
          <w:p>
            <w:pPr>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12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General and administrative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10,435</w:t>
            </w:r>
          </w:p>
        </w:tc>
        <w:tc>
          <w:tcPr>
            <w:tcW w:w="3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13,119</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86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9,152</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713%</w:t>
            </w:r>
          </w:p>
        </w:tc>
        <w:tc>
          <w:tcPr>
            <w:tcW w:w="86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Gain on disposition of</w:t>
            </w:r>
          </w:p>
        </w:tc>
        <w:tc>
          <w:tcPr>
            <w:tcW w:w="120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(47)</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(25)</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digital assets</w:t>
            </w:r>
          </w:p>
        </w:tc>
        <w:tc>
          <w:tcPr>
            <w:tcW w:w="1200" w:type="dxa"/>
            <w:vAlign w:val="bottom"/>
            <w:gridSpan w:val="2"/>
            <w:vMerge w:val="continue"/>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104%</w:t>
            </w:r>
          </w:p>
        </w:tc>
        <w:tc>
          <w:tcPr>
            <w:tcW w:w="1160" w:type="dxa"/>
            <w:vAlign w:val="bottom"/>
            <w:gridSpan w:val="2"/>
            <w:vMerge w:val="continue"/>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on revaluation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14,885</w:t>
            </w:r>
          </w:p>
        </w:tc>
        <w:tc>
          <w:tcPr>
            <w:tcW w:w="3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14,885</w:t>
            </w: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14,885</w:t>
            </w:r>
          </w:p>
        </w:tc>
        <w:tc>
          <w:tcPr>
            <w:tcW w:w="3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14,885</w:t>
            </w: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49"/>
        </w:trPr>
        <w:tc>
          <w:tcPr>
            <w:tcW w:w="21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860" w:type="dxa"/>
            <w:vAlign w:val="bottom"/>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20" w:type="dxa"/>
            <w:vAlign w:val="bottom"/>
            <w:tcBorders>
              <w:left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20" w:type="dxa"/>
            <w:vAlign w:val="bottom"/>
            <w:gridSpan w:val="2"/>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1180" w:type="dxa"/>
            <w:vAlign w:val="bottom"/>
            <w:gridSpan w:val="2"/>
            <w:shd w:val="clear" w:color="auto" w:fill="CCEEFF"/>
          </w:tcPr>
          <w:p>
            <w:pPr>
              <w:jc w:val="right"/>
              <w:ind w:right="230"/>
              <w:spacing w:after="0" w:line="68" w:lineRule="exact"/>
              <w:rPr>
                <w:sz w:val="20"/>
                <w:szCs w:val="20"/>
                <w:color w:val="auto"/>
              </w:rPr>
            </w:pPr>
            <w:r>
              <w:rPr>
                <w:rFonts w:ascii="Arial" w:cs="Arial" w:eastAsia="Arial" w:hAnsi="Arial"/>
                <w:sz w:val="7"/>
                <w:szCs w:val="7"/>
                <w:color w:val="auto"/>
              </w:rPr>
              <w:t>100</w:t>
            </w:r>
          </w:p>
        </w:tc>
        <w:tc>
          <w:tcPr>
            <w:tcW w:w="8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gridSpan w:val="2"/>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(2,095)</w:t>
            </w:r>
          </w:p>
        </w:tc>
        <w:tc>
          <w:tcPr>
            <w:tcW w:w="34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(1,579)</w:t>
            </w:r>
          </w:p>
        </w:tc>
        <w:tc>
          <w:tcPr>
            <w:tcW w:w="32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(516)</w:t>
            </w:r>
          </w:p>
        </w:tc>
        <w:tc>
          <w:tcPr>
            <w:tcW w:w="220" w:type="dxa"/>
            <w:vAlign w:val="bottom"/>
            <w:vMerge w:val="continue"/>
          </w:tcPr>
          <w:p>
            <w:pPr>
              <w:spacing w:after="0"/>
              <w:rPr>
                <w:sz w:val="17"/>
                <w:szCs w:val="17"/>
                <w:color w:val="auto"/>
              </w:rPr>
            </w:pPr>
          </w:p>
        </w:tc>
        <w:tc>
          <w:tcPr>
            <w:tcW w:w="118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33%</w:t>
            </w: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14,492</w:t>
            </w:r>
          </w:p>
        </w:tc>
        <w:tc>
          <w:tcPr>
            <w:tcW w:w="3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(2,922)</w:t>
            </w:r>
          </w:p>
        </w:tc>
        <w:tc>
          <w:tcPr>
            <w:tcW w:w="32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17,414</w:t>
            </w:r>
          </w:p>
        </w:tc>
        <w:tc>
          <w:tcPr>
            <w:tcW w:w="220" w:type="dxa"/>
            <w:vAlign w:val="bottom"/>
          </w:tcPr>
          <w:p>
            <w:pPr>
              <w:spacing w:after="0"/>
              <w:rPr>
                <w:sz w:val="17"/>
                <w:szCs w:val="17"/>
                <w:color w:val="auto"/>
              </w:rPr>
            </w:pPr>
          </w:p>
        </w:tc>
        <w:tc>
          <w:tcPr>
            <w:tcW w:w="10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189"/>
        </w:trPr>
        <w:tc>
          <w:tcPr>
            <w:tcW w:w="2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120" w:type="dxa"/>
            <w:vAlign w:val="bottom"/>
            <w:gridSpan w:val="2"/>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40" w:type="dxa"/>
            <w:vAlign w:val="bottom"/>
            <w:vMerge w:val="continue"/>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80" w:type="dxa"/>
            <w:vAlign w:val="bottom"/>
            <w:gridSpan w:val="2"/>
            <w:vMerge w:val="continue"/>
            <w:shd w:val="clear" w:color="auto" w:fill="CCEEFF"/>
          </w:tcPr>
          <w:p>
            <w:pPr>
              <w:spacing w:after="0"/>
              <w:rPr>
                <w:sz w:val="3"/>
                <w:szCs w:val="3"/>
                <w:color w:val="auto"/>
              </w:rPr>
            </w:pPr>
          </w:p>
        </w:tc>
        <w:tc>
          <w:tcPr>
            <w:tcW w:w="1180" w:type="dxa"/>
            <w:vAlign w:val="bottom"/>
            <w:gridSpan w:val="2"/>
            <w:vMerge w:val="continue"/>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vMerge w:val="continue"/>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Loss (gain) on disposition</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20" w:type="dxa"/>
            <w:vAlign w:val="bottom"/>
            <w:gridSpan w:val="2"/>
            <w:vMerge w:val="continue"/>
          </w:tcPr>
          <w:p>
            <w:pPr>
              <w:spacing w:after="0"/>
              <w:rPr>
                <w:sz w:val="15"/>
                <w:szCs w:val="15"/>
                <w:color w:val="auto"/>
              </w:rPr>
            </w:pPr>
          </w:p>
        </w:tc>
        <w:tc>
          <w:tcPr>
            <w:tcW w:w="1200" w:type="dxa"/>
            <w:vAlign w:val="bottom"/>
            <w:gridSpan w:val="2"/>
            <w:vMerge w:val="restart"/>
          </w:tcPr>
          <w:p>
            <w:pPr>
              <w:jc w:val="right"/>
              <w:ind w:right="190"/>
              <w:spacing w:after="0"/>
              <w:rPr>
                <w:sz w:val="20"/>
                <w:szCs w:val="20"/>
                <w:color w:val="auto"/>
              </w:rPr>
            </w:pPr>
            <w:r>
              <w:rPr>
                <w:rFonts w:ascii="Arial" w:cs="Arial" w:eastAsia="Arial" w:hAnsi="Arial"/>
                <w:sz w:val="18"/>
                <w:szCs w:val="18"/>
                <w:b w:val="1"/>
                <w:bCs w:val="1"/>
                <w:color w:val="auto"/>
              </w:rPr>
              <w:t>(145)</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vMerge w:val="restart"/>
          </w:tcPr>
          <w:p>
            <w:pPr>
              <w:jc w:val="right"/>
              <w:ind w:right="150"/>
              <w:spacing w:after="0"/>
              <w:rPr>
                <w:sz w:val="20"/>
                <w:szCs w:val="20"/>
                <w:color w:val="auto"/>
              </w:rPr>
            </w:pPr>
            <w:r>
              <w:rPr>
                <w:rFonts w:ascii="Arial" w:cs="Arial" w:eastAsia="Arial" w:hAnsi="Arial"/>
                <w:sz w:val="18"/>
                <w:szCs w:val="18"/>
                <w:b w:val="1"/>
                <w:bCs w:val="1"/>
                <w:color w:val="auto"/>
              </w:rPr>
              <w:t>(163)</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180"/>
              <w:spacing w:after="0"/>
              <w:rPr>
                <w:sz w:val="20"/>
                <w:szCs w:val="20"/>
                <w:color w:val="auto"/>
              </w:rPr>
            </w:pPr>
            <w:r>
              <w:rPr>
                <w:rFonts w:ascii="Arial" w:cs="Arial" w:eastAsia="Arial" w:hAnsi="Arial"/>
                <w:sz w:val="18"/>
                <w:szCs w:val="18"/>
                <w:color w:val="auto"/>
              </w:rPr>
              <w:t>of PP&amp;E</w:t>
            </w:r>
          </w:p>
        </w:tc>
        <w:tc>
          <w:tcPr>
            <w:tcW w:w="1200" w:type="dxa"/>
            <w:vAlign w:val="bottom"/>
            <w:gridSpan w:val="2"/>
            <w:vMerge w:val="continue"/>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(121%)</w:t>
            </w:r>
          </w:p>
        </w:tc>
        <w:tc>
          <w:tcPr>
            <w:tcW w:w="1160" w:type="dxa"/>
            <w:vAlign w:val="bottom"/>
            <w:gridSpan w:val="2"/>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(870)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62"/>
        </w:trPr>
        <w:tc>
          <w:tcPr>
            <w:tcW w:w="2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3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60"/>
              <w:spacing w:after="0" w:line="162" w:lineRule="exact"/>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24,540</w:t>
            </w:r>
          </w:p>
        </w:tc>
        <w:tc>
          <w:tcPr>
            <w:tcW w:w="3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21,980</w:t>
            </w: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Borders>
              <w:left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68"/>
        </w:trPr>
        <w:tc>
          <w:tcPr>
            <w:tcW w:w="2120" w:type="dxa"/>
            <w:vAlign w:val="bottom"/>
            <w:gridSpan w:val="2"/>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gridSpan w:val="2"/>
            <w:shd w:val="clear" w:color="auto" w:fill="CCEEFF"/>
          </w:tcPr>
          <w:p>
            <w:pPr>
              <w:jc w:val="right"/>
              <w:ind w:right="220"/>
              <w:spacing w:after="0" w:line="68" w:lineRule="exact"/>
              <w:rPr>
                <w:sz w:val="20"/>
                <w:szCs w:val="20"/>
                <w:color w:val="auto"/>
              </w:rPr>
            </w:pPr>
            <w:r>
              <w:rPr>
                <w:rFonts w:ascii="Arial" w:cs="Arial" w:eastAsia="Arial" w:hAnsi="Arial"/>
                <w:sz w:val="7"/>
                <w:szCs w:val="7"/>
                <w:color w:val="auto"/>
              </w:rPr>
              <w:t>(428</w:t>
            </w:r>
          </w:p>
        </w:tc>
        <w:tc>
          <w:tcPr>
            <w:tcW w:w="1180" w:type="dxa"/>
            <w:vAlign w:val="bottom"/>
            <w:gridSpan w:val="2"/>
            <w:shd w:val="clear" w:color="auto" w:fill="CCEEFF"/>
          </w:tcPr>
          <w:p>
            <w:pPr>
              <w:jc w:val="right"/>
              <w:ind w:right="230"/>
              <w:spacing w:after="0" w:line="68" w:lineRule="exact"/>
              <w:rPr>
                <w:sz w:val="20"/>
                <w:szCs w:val="20"/>
                <w:color w:val="auto"/>
              </w:rPr>
            </w:pPr>
            <w:r>
              <w:rPr>
                <w:rFonts w:ascii="Arial" w:cs="Arial" w:eastAsia="Arial" w:hAnsi="Arial"/>
                <w:sz w:val="7"/>
                <w:szCs w:val="7"/>
                <w:color w:val="auto"/>
              </w:rPr>
              <w:t>(28</w:t>
            </w:r>
          </w:p>
        </w:tc>
        <w:tc>
          <w:tcPr>
            <w:tcW w:w="86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tcBorders>
              <w:lef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15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line="155" w:lineRule="exact"/>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line="15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35"/>
        </w:trPr>
        <w:tc>
          <w:tcPr>
            <w:tcW w:w="2120" w:type="dxa"/>
            <w:vAlign w:val="bottom"/>
            <w:gridSpan w:val="2"/>
            <w:vMerge w:val="restart"/>
          </w:tcPr>
          <w:p>
            <w:pPr>
              <w:spacing w:after="0" w:line="203" w:lineRule="exact"/>
              <w:rPr>
                <w:sz w:val="20"/>
                <w:szCs w:val="20"/>
                <w:color w:val="auto"/>
              </w:rPr>
            </w:pPr>
            <w:r>
              <w:rPr>
                <w:rFonts w:ascii="Arial" w:cs="Arial" w:eastAsia="Arial" w:hAnsi="Arial"/>
                <w:sz w:val="18"/>
                <w:szCs w:val="18"/>
                <w:color w:val="auto"/>
              </w:rPr>
              <w:t>Net loss before tax</w:t>
            </w:r>
          </w:p>
        </w:tc>
        <w:tc>
          <w:tcPr>
            <w:tcW w:w="860" w:type="dxa"/>
            <w:vAlign w:val="bottom"/>
            <w:vMerge w:val="restart"/>
          </w:tcPr>
          <w:p>
            <w:pPr>
              <w:jc w:val="right"/>
              <w:spacing w:after="0" w:line="203" w:lineRule="exact"/>
              <w:rPr>
                <w:sz w:val="20"/>
                <w:szCs w:val="20"/>
                <w:color w:val="auto"/>
              </w:rPr>
            </w:pPr>
            <w:r>
              <w:rPr>
                <w:rFonts w:ascii="Arial" w:cs="Arial" w:eastAsia="Arial" w:hAnsi="Arial"/>
                <w:sz w:val="18"/>
                <w:szCs w:val="18"/>
                <w:b w:val="1"/>
                <w:bCs w:val="1"/>
                <w:color w:val="auto"/>
              </w:rPr>
              <w:t>(3,073</w:t>
            </w:r>
          </w:p>
        </w:tc>
        <w:tc>
          <w:tcPr>
            <w:tcW w:w="340" w:type="dxa"/>
            <w:vAlign w:val="bottom"/>
            <w:vMerge w:val="continue"/>
          </w:tcPr>
          <w:p>
            <w:pPr>
              <w:spacing w:after="0"/>
              <w:rPr>
                <w:sz w:val="11"/>
                <w:szCs w:val="11"/>
                <w:color w:val="auto"/>
              </w:rPr>
            </w:pPr>
          </w:p>
        </w:tc>
        <w:tc>
          <w:tcPr>
            <w:tcW w:w="84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(3,837</w:t>
            </w:r>
          </w:p>
        </w:tc>
        <w:tc>
          <w:tcPr>
            <w:tcW w:w="320" w:type="dxa"/>
            <w:vAlign w:val="bottom"/>
            <w:vMerge w:val="continue"/>
          </w:tcPr>
          <w:p>
            <w:pPr>
              <w:spacing w:after="0"/>
              <w:rPr>
                <w:sz w:val="11"/>
                <w:szCs w:val="11"/>
                <w:color w:val="auto"/>
              </w:rPr>
            </w:pPr>
          </w:p>
        </w:tc>
        <w:tc>
          <w:tcPr>
            <w:tcW w:w="1080" w:type="dxa"/>
            <w:vAlign w:val="bottom"/>
            <w:gridSpan w:val="2"/>
            <w:vMerge w:val="restart"/>
          </w:tcPr>
          <w:p>
            <w:pPr>
              <w:jc w:val="right"/>
              <w:ind w:right="220"/>
              <w:spacing w:after="0" w:line="203" w:lineRule="exact"/>
              <w:rPr>
                <w:sz w:val="20"/>
                <w:szCs w:val="20"/>
                <w:color w:val="auto"/>
              </w:rPr>
            </w:pPr>
            <w:r>
              <w:rPr>
                <w:rFonts w:ascii="Arial" w:cs="Arial" w:eastAsia="Arial" w:hAnsi="Arial"/>
                <w:sz w:val="18"/>
                <w:szCs w:val="18"/>
                <w:color w:val="auto"/>
              </w:rPr>
              <w:t>764</w:t>
            </w:r>
          </w:p>
        </w:tc>
        <w:tc>
          <w:tcPr>
            <w:tcW w:w="8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60" w:type="dxa"/>
            <w:vAlign w:val="bottom"/>
            <w:vMerge w:val="restart"/>
          </w:tcPr>
          <w:p>
            <w:pPr>
              <w:jc w:val="right"/>
              <w:spacing w:after="0" w:line="203" w:lineRule="exact"/>
              <w:rPr>
                <w:sz w:val="20"/>
                <w:szCs w:val="20"/>
                <w:color w:val="auto"/>
              </w:rPr>
            </w:pPr>
            <w:r>
              <w:rPr>
                <w:rFonts w:ascii="Arial" w:cs="Arial" w:eastAsia="Arial" w:hAnsi="Arial"/>
                <w:sz w:val="18"/>
                <w:szCs w:val="18"/>
                <w:b w:val="1"/>
                <w:bCs w:val="1"/>
                <w:color w:val="auto"/>
              </w:rPr>
              <w:t>(9,885</w:t>
            </w:r>
          </w:p>
        </w:tc>
        <w:tc>
          <w:tcPr>
            <w:tcW w:w="300" w:type="dxa"/>
            <w:vAlign w:val="bottom"/>
            <w:vMerge w:val="continue"/>
          </w:tcPr>
          <w:p>
            <w:pPr>
              <w:spacing w:after="0"/>
              <w:rPr>
                <w:sz w:val="11"/>
                <w:szCs w:val="11"/>
                <w:color w:val="auto"/>
              </w:rPr>
            </w:pPr>
          </w:p>
        </w:tc>
        <w:tc>
          <w:tcPr>
            <w:tcW w:w="86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(6,189</w:t>
            </w:r>
          </w:p>
        </w:tc>
        <w:tc>
          <w:tcPr>
            <w:tcW w:w="320" w:type="dxa"/>
            <w:vAlign w:val="bottom"/>
            <w:vMerge w:val="continue"/>
          </w:tcPr>
          <w:p>
            <w:pPr>
              <w:spacing w:after="0"/>
              <w:rPr>
                <w:sz w:val="11"/>
                <w:szCs w:val="11"/>
                <w:color w:val="auto"/>
              </w:rPr>
            </w:pPr>
          </w:p>
        </w:tc>
        <w:tc>
          <w:tcPr>
            <w:tcW w:w="86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(3,696</w:t>
            </w:r>
          </w:p>
        </w:tc>
        <w:tc>
          <w:tcPr>
            <w:tcW w:w="220" w:type="dxa"/>
            <w:vAlign w:val="bottom"/>
            <w:vMerge w:val="continue"/>
          </w:tcPr>
          <w:p>
            <w:pPr>
              <w:spacing w:after="0"/>
              <w:rPr>
                <w:sz w:val="11"/>
                <w:szCs w:val="11"/>
                <w:color w:val="auto"/>
              </w:rPr>
            </w:pPr>
          </w:p>
        </w:tc>
        <w:tc>
          <w:tcPr>
            <w:tcW w:w="860" w:type="dxa"/>
            <w:vAlign w:val="bottom"/>
            <w:vMerge w:val="restart"/>
          </w:tcPr>
          <w:p>
            <w:pPr>
              <w:jc w:val="right"/>
              <w:spacing w:after="0" w:line="203" w:lineRule="exact"/>
              <w:rPr>
                <w:sz w:val="20"/>
                <w:szCs w:val="20"/>
                <w:color w:val="auto"/>
              </w:rPr>
            </w:pPr>
            <w:r>
              <w:rPr>
                <w:rFonts w:ascii="Arial" w:cs="Arial" w:eastAsia="Arial" w:hAnsi="Arial"/>
                <w:sz w:val="18"/>
                <w:szCs w:val="18"/>
                <w:color w:val="auto"/>
              </w:rPr>
              <w:t>60</w:t>
            </w: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1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180" w:type="dxa"/>
            <w:vAlign w:val="bottom"/>
            <w:gridSpan w:val="2"/>
          </w:tcPr>
          <w:p>
            <w:pPr>
              <w:jc w:val="right"/>
              <w:ind w:right="230"/>
              <w:spacing w:after="0" w:line="68" w:lineRule="exact"/>
              <w:rPr>
                <w:sz w:val="20"/>
                <w:szCs w:val="20"/>
                <w:color w:val="auto"/>
              </w:rPr>
            </w:pPr>
            <w:r>
              <w:rPr>
                <w:rFonts w:ascii="Arial" w:cs="Arial" w:eastAsia="Arial" w:hAnsi="Arial"/>
                <w:sz w:val="7"/>
                <w:szCs w:val="7"/>
                <w:color w:val="auto"/>
              </w:rPr>
              <w:t>(20</w:t>
            </w:r>
          </w:p>
        </w:tc>
        <w:tc>
          <w:tcPr>
            <w:tcW w:w="8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2120" w:type="dxa"/>
            <w:vAlign w:val="bottom"/>
            <w:gridSpan w:val="2"/>
            <w:vMerge w:val="restart"/>
            <w:shd w:val="clear" w:color="auto" w:fill="CCEEFF"/>
          </w:tcPr>
          <w:p>
            <w:pPr>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gridSpan w:val="2"/>
            <w:vMerge w:val="continue"/>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2,707</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808%</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3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6"/>
        </w:trPr>
        <w:tc>
          <w:tcPr>
            <w:tcW w:w="21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8%</w:t>
            </w: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0%</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1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23,789</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22,472</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i w:val="1"/>
                <w:iCs w:val="1"/>
                <w:color w:val="auto"/>
              </w:rPr>
              <w:t>nm</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43,581</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39,219</w:t>
            </w:r>
          </w:p>
        </w:tc>
        <w:tc>
          <w:tcPr>
            <w:tcW w:w="2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5"/>
        </w:trPr>
        <w:tc>
          <w:tcPr>
            <w:tcW w:w="2120" w:type="dxa"/>
            <w:vAlign w:val="bottom"/>
            <w:gridSpan w:val="2"/>
          </w:tcPr>
          <w:p>
            <w:pPr>
              <w:spacing w:after="0" w:line="206" w:lineRule="exact"/>
              <w:rPr>
                <w:sz w:val="20"/>
                <w:szCs w:val="20"/>
                <w:color w:val="auto"/>
              </w:rPr>
            </w:pPr>
            <w:r>
              <w:rPr>
                <w:rFonts w:ascii="Arial" w:cs="Arial" w:eastAsia="Arial" w:hAnsi="Arial"/>
                <w:sz w:val="18"/>
                <w:szCs w:val="18"/>
                <w:color w:val="auto"/>
              </w:rPr>
              <w:t>Adjusted EBITDA margin</w:t>
            </w:r>
          </w:p>
        </w:tc>
        <w:tc>
          <w:tcPr>
            <w:tcW w:w="120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67%</w:t>
            </w:r>
          </w:p>
        </w:tc>
        <w:tc>
          <w:tcPr>
            <w:tcW w:w="11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19%</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69%</w:t>
            </w:r>
          </w:p>
        </w:tc>
        <w:tc>
          <w:tcPr>
            <w:tcW w:w="11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28%</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20" w:type="dxa"/>
            <w:vAlign w:val="bottom"/>
          </w:tcPr>
          <w:p>
            <w:pPr>
              <w:ind w:left="18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EBITDA margin, Adjusted EBITDA and Adjusted EBITDA margin are non-IFRS performance measures; please refer to the Non-IFRS Financial Performance Measures section of this MD&amp;A.</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10"/>
          </w:tcPr>
          <w:p>
            <w:pPr>
              <w:spacing w:after="0"/>
              <w:rPr>
                <w:sz w:val="20"/>
                <w:szCs w:val="20"/>
                <w:color w:val="auto"/>
              </w:rPr>
            </w:pPr>
            <w:r>
              <w:rPr>
                <w:rFonts w:ascii="Arial" w:cs="Arial" w:eastAsia="Arial" w:hAnsi="Arial"/>
                <w:sz w:val="18"/>
                <w:szCs w:val="18"/>
                <w:i w:val="1"/>
                <w:iCs w:val="1"/>
                <w:color w:val="auto"/>
                <w:w w:val="96"/>
              </w:rPr>
              <w:t>Reconciliation of Non-IFRS Performance Measures for Backbone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4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94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20" w:type="dxa"/>
            <w:vAlign w:val="bottom"/>
          </w:tcPr>
          <w:p>
            <w:pPr>
              <w:spacing w:after="0"/>
              <w:rPr>
                <w:sz w:val="21"/>
                <w:szCs w:val="21"/>
                <w:color w:val="auto"/>
              </w:rPr>
            </w:pPr>
          </w:p>
        </w:tc>
        <w:tc>
          <w:tcPr>
            <w:tcW w:w="196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9"/>
              </w:rPr>
              <w:t>Six months ended</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rPr>
              <w:t>June 30</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0"/>
              <w:spacing w:after="0" w:line="198"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gridSpan w:val="3"/>
          </w:tcPr>
          <w:p>
            <w:pPr>
              <w:jc w:val="right"/>
              <w:ind w:right="221"/>
              <w:spacing w:after="0" w:line="198" w:lineRule="exact"/>
              <w:rPr>
                <w:sz w:val="20"/>
                <w:szCs w:val="20"/>
                <w:color w:val="auto"/>
              </w:rPr>
            </w:pPr>
            <w:r>
              <w:rPr>
                <w:rFonts w:ascii="Arial" w:cs="Arial" w:eastAsia="Arial" w:hAnsi="Arial"/>
                <w:sz w:val="18"/>
                <w:szCs w:val="18"/>
                <w:b w:val="1"/>
                <w:bCs w:val="1"/>
                <w:color w:val="auto"/>
                <w:w w:val="98"/>
              </w:rPr>
              <w:t>June 30</w:t>
            </w: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8"/>
              </w:rPr>
              <w:t>June 30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Change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Change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(9,885)</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894</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1,406</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(512)</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(36%)</w:t>
            </w:r>
          </w:p>
        </w:tc>
        <w:tc>
          <w:tcPr>
            <w:tcW w:w="108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1,790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2,778</w:t>
            </w:r>
          </w:p>
        </w:tc>
        <w:tc>
          <w:tcPr>
            <w:tcW w:w="1000" w:type="dxa"/>
            <w:vAlign w:val="bottom"/>
            <w:gridSpan w:val="3"/>
          </w:tcPr>
          <w:p>
            <w:pPr>
              <w:jc w:val="right"/>
              <w:ind w:right="81"/>
              <w:spacing w:after="0"/>
              <w:rPr>
                <w:sz w:val="20"/>
                <w:szCs w:val="20"/>
                <w:color w:val="auto"/>
              </w:rPr>
            </w:pPr>
            <w:r>
              <w:rPr>
                <w:rFonts w:ascii="Arial" w:cs="Arial" w:eastAsia="Arial" w:hAnsi="Arial"/>
                <w:sz w:val="18"/>
                <w:szCs w:val="18"/>
                <w:color w:val="auto"/>
              </w:rPr>
              <w:t>(988)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9"/>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4,886</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2,729</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2,157</w:t>
            </w:r>
          </w:p>
        </w:tc>
        <w:tc>
          <w:tcPr>
            <w:tcW w:w="11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80" w:type="dxa"/>
            <w:vAlign w:val="bottom"/>
            <w:tcBorders>
              <w:right w:val="single" w:sz="8" w:color="CCEEFF"/>
            </w:tcBorders>
            <w:gridSpan w:val="4"/>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7,863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5,682</w:t>
            </w:r>
          </w:p>
        </w:tc>
        <w:tc>
          <w:tcPr>
            <w:tcW w:w="10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2,181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9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CCEEFF"/>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2,707</w:t>
            </w:r>
          </w:p>
        </w:tc>
        <w:tc>
          <w:tcPr>
            <w:tcW w:w="14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CCEEFF"/>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Borders>
              <w:top w:val="single" w:sz="8" w:color="CCEEFF"/>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260" w:type="dxa"/>
            <w:vAlign w:val="bottom"/>
            <w:tcBorders>
              <w:top w:val="single" w:sz="8" w:color="CCEEFF"/>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6,762</w:t>
            </w: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Loss on revaluation of digital assets</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14,885</w:t>
            </w: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14,885</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100%</w:t>
            </w:r>
          </w:p>
        </w:tc>
        <w:tc>
          <w:tcPr>
            <w:tcW w:w="1080" w:type="dxa"/>
            <w:vAlign w:val="bottom"/>
            <w:gridSpan w:val="4"/>
          </w:tcPr>
          <w:p>
            <w:pPr>
              <w:jc w:val="right"/>
              <w:ind w:right="141"/>
              <w:spacing w:after="0"/>
              <w:rPr>
                <w:sz w:val="20"/>
                <w:szCs w:val="20"/>
                <w:color w:val="auto"/>
              </w:rPr>
            </w:pPr>
            <w:r>
              <w:rPr>
                <w:rFonts w:ascii="Arial" w:cs="Arial" w:eastAsia="Arial" w:hAnsi="Arial"/>
                <w:sz w:val="18"/>
                <w:szCs w:val="18"/>
                <w:b w:val="1"/>
                <w:bCs w:val="1"/>
                <w:color w:val="auto"/>
              </w:rPr>
              <w:t>14,885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41"/>
              <w:spacing w:after="0"/>
              <w:rPr>
                <w:sz w:val="20"/>
                <w:szCs w:val="20"/>
                <w:color w:val="auto"/>
              </w:rPr>
            </w:pPr>
            <w:r>
              <w:rPr>
                <w:rFonts w:ascii="Arial" w:cs="Arial" w:eastAsia="Arial" w:hAnsi="Arial"/>
                <w:sz w:val="18"/>
                <w:szCs w:val="18"/>
                <w:color w:val="auto"/>
              </w:rPr>
              <w:t>14,885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9"/>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Financial expenses (income) and other</w:t>
            </w:r>
          </w:p>
        </w:tc>
        <w:tc>
          <w:tcPr>
            <w:tcW w:w="10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(145)</w:t>
            </w: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765</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1080" w:type="dxa"/>
            <w:vAlign w:val="bottom"/>
            <w:tcBorders>
              <w:right w:val="single" w:sz="8" w:color="CCEEFF"/>
            </w:tcBorders>
            <w:gridSpan w:val="4"/>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22,166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10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21,339</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23,789</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1,317</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22,472</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43,581</w:t>
            </w: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4,362</w:t>
            </w:r>
          </w:p>
        </w:tc>
        <w:tc>
          <w:tcPr>
            <w:tcW w:w="26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39,219</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899</w:t>
            </w:r>
          </w:p>
        </w:tc>
        <w:tc>
          <w:tcPr>
            <w:tcW w:w="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940" w:type="dxa"/>
            <w:vAlign w:val="bottom"/>
            <w:gridSpan w:val="2"/>
          </w:tcPr>
          <w:p>
            <w:pPr>
              <w:spacing w:after="0"/>
              <w:rPr>
                <w:sz w:val="20"/>
                <w:szCs w:val="20"/>
                <w:color w:val="auto"/>
              </w:rPr>
            </w:pPr>
            <w:r>
              <w:rPr>
                <w:rFonts w:ascii="Arial" w:cs="Arial" w:eastAsia="Arial" w:hAnsi="Arial"/>
                <w:sz w:val="18"/>
                <w:szCs w:val="18"/>
                <w:color w:val="auto"/>
              </w:rPr>
              <w:t>Volta</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40" w:type="dxa"/>
            <w:vAlign w:val="bottom"/>
            <w:gridSpan w:val="2"/>
          </w:tcPr>
          <w:p>
            <w:pPr>
              <w:spacing w:after="0"/>
              <w:rPr>
                <w:sz w:val="20"/>
                <w:szCs w:val="20"/>
                <w:color w:val="auto"/>
              </w:rPr>
            </w:pPr>
            <w:r>
              <w:rPr>
                <w:rFonts w:ascii="Arial" w:cs="Arial" w:eastAsia="Arial" w:hAnsi="Arial"/>
                <w:sz w:val="18"/>
                <w:szCs w:val="18"/>
                <w:color w:val="auto"/>
              </w:rPr>
              <w:t>(U.S. $ in thousands except where</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94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20" w:type="dxa"/>
            <w:vAlign w:val="bottom"/>
          </w:tcPr>
          <w:p>
            <w:pPr>
              <w:spacing w:after="0"/>
              <w:rPr>
                <w:sz w:val="21"/>
                <w:szCs w:val="21"/>
                <w:color w:val="auto"/>
              </w:rPr>
            </w:pPr>
          </w:p>
        </w:tc>
        <w:tc>
          <w:tcPr>
            <w:tcW w:w="196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1"/>
              </w:rPr>
              <w:t>Six months ended</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gridSpan w:val="4"/>
          </w:tcPr>
          <w:p>
            <w:pPr>
              <w:jc w:val="right"/>
              <w:ind w:right="380"/>
              <w:spacing w:after="0" w:line="198" w:lineRule="exact"/>
              <w:rPr>
                <w:sz w:val="20"/>
                <w:szCs w:val="20"/>
                <w:color w:val="auto"/>
              </w:rPr>
            </w:pPr>
            <w:r>
              <w:rPr>
                <w:rFonts w:ascii="Arial" w:cs="Arial" w:eastAsia="Arial" w:hAnsi="Arial"/>
                <w:sz w:val="18"/>
                <w:szCs w:val="18"/>
                <w:b w:val="1"/>
                <w:bCs w:val="1"/>
                <w:color w:val="auto"/>
                <w:w w:val="98"/>
              </w:rPr>
              <w:t>June 30</w:t>
            </w:r>
          </w:p>
        </w:tc>
        <w:tc>
          <w:tcPr>
            <w:tcW w:w="7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June 30</w:t>
            </w:r>
          </w:p>
        </w:tc>
        <w:tc>
          <w:tcPr>
            <w:tcW w:w="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90"/>
              <w:spacing w:after="0" w:line="198"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4"/>
          </w:tcPr>
          <w:p>
            <w:pPr>
              <w:jc w:val="right"/>
              <w:ind w:right="401"/>
              <w:spacing w:after="0" w:line="198" w:lineRule="exact"/>
              <w:rPr>
                <w:sz w:val="20"/>
                <w:szCs w:val="20"/>
                <w:color w:val="auto"/>
              </w:rPr>
            </w:pPr>
            <w:r>
              <w:rPr>
                <w:rFonts w:ascii="Arial" w:cs="Arial" w:eastAsia="Arial" w:hAnsi="Arial"/>
                <w:sz w:val="18"/>
                <w:szCs w:val="18"/>
                <w:b w:val="1"/>
                <w:bCs w:val="1"/>
                <w:color w:val="auto"/>
                <w:w w:val="86"/>
              </w:rPr>
              <w:t>June 30</w:t>
            </w:r>
          </w:p>
        </w:tc>
        <w:tc>
          <w:tcPr>
            <w:tcW w:w="7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2"/>
              </w:rPr>
              <w:t>June 30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Change</w:t>
            </w:r>
          </w:p>
        </w:tc>
        <w:tc>
          <w:tcPr>
            <w:tcW w:w="220" w:type="dxa"/>
            <w:vAlign w:val="bottom"/>
            <w:tcBorders>
              <w:bottom w:val="single" w:sz="8" w:color="CCEEFF"/>
            </w:tcBorders>
            <w:gridSpan w:val="2"/>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Change</w:t>
            </w:r>
          </w:p>
        </w:tc>
        <w:tc>
          <w:tcPr>
            <w:tcW w:w="32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 Change</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1,904</w:t>
            </w: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1,031</w:t>
            </w:r>
          </w:p>
        </w:tc>
        <w:tc>
          <w:tcPr>
            <w:tcW w:w="14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920" w:type="dxa"/>
            <w:vAlign w:val="bottom"/>
            <w:gridSpan w:val="3"/>
          </w:tcPr>
          <w:p>
            <w:pPr>
              <w:jc w:val="right"/>
              <w:ind w:right="61"/>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rPr>
              <w:t>1,708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19"/>
                <w:szCs w:val="19"/>
                <w:color w:val="auto"/>
              </w:rPr>
            </w:pPr>
          </w:p>
        </w:tc>
        <w:tc>
          <w:tcPr>
            <w:tcW w:w="1000" w:type="dxa"/>
            <w:vAlign w:val="bottom"/>
            <w:gridSpan w:val="3"/>
          </w:tcPr>
          <w:p>
            <w:pPr>
              <w:jc w:val="right"/>
              <w:ind w:right="141"/>
              <w:spacing w:after="0"/>
              <w:rPr>
                <w:sz w:val="20"/>
                <w:szCs w:val="20"/>
                <w:color w:val="auto"/>
              </w:rPr>
            </w:pPr>
            <w:r>
              <w:rPr>
                <w:rFonts w:ascii="Arial" w:cs="Arial" w:eastAsia="Arial" w:hAnsi="Arial"/>
                <w:sz w:val="18"/>
                <w:szCs w:val="18"/>
                <w:color w:val="auto"/>
              </w:rPr>
              <w:t>959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gridSpan w:val="2"/>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320" w:type="dxa"/>
            <w:vAlign w:val="bottom"/>
            <w:gridSpan w:val="2"/>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gridSpan w:val="2"/>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80" w:type="dxa"/>
            <w:vAlign w:val="bottom"/>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6"/>
        </w:trPr>
        <w:tc>
          <w:tcPr>
            <w:tcW w:w="29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37%</w:t>
            </w:r>
          </w:p>
        </w:tc>
        <w:tc>
          <w:tcPr>
            <w:tcW w:w="92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General and administrative expenses</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20"/>
                <w:szCs w:val="20"/>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0"/>
                <w:szCs w:val="20"/>
                <w:color w:val="auto"/>
              </w:rPr>
            </w:pPr>
          </w:p>
        </w:tc>
        <w:tc>
          <w:tcPr>
            <w:tcW w:w="1080" w:type="dxa"/>
            <w:vAlign w:val="bottom"/>
            <w:gridSpan w:val="4"/>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86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rPr>
              <w:t>(111)</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1000" w:type="dxa"/>
            <w:vAlign w:val="bottom"/>
            <w:gridSpan w:val="3"/>
          </w:tcPr>
          <w:p>
            <w:pPr>
              <w:jc w:val="right"/>
              <w:ind w:right="81"/>
              <w:spacing w:after="0"/>
              <w:rPr>
                <w:sz w:val="20"/>
                <w:szCs w:val="20"/>
                <w:color w:val="auto"/>
              </w:rPr>
            </w:pPr>
            <w:r>
              <w:rPr>
                <w:rFonts w:ascii="Arial" w:cs="Arial" w:eastAsia="Arial" w:hAnsi="Arial"/>
                <w:sz w:val="18"/>
                <w:szCs w:val="18"/>
                <w:color w:val="auto"/>
              </w:rPr>
              <w:t>(124)</w:t>
            </w:r>
          </w:p>
        </w:tc>
        <w:tc>
          <w:tcPr>
            <w:tcW w:w="760" w:type="dxa"/>
            <w:vAlign w:val="bottom"/>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29"/>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9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4"/>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Gain on disposition of assets</w:t>
            </w:r>
          </w:p>
        </w:tc>
        <w:tc>
          <w:tcPr>
            <w:tcW w:w="76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gridSpan w:val="2"/>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gridSpan w:val="2"/>
            <w:shd w:val="clear" w:color="auto" w:fill="000000"/>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217"/>
        </w:trPr>
        <w:tc>
          <w:tcPr>
            <w:tcW w:w="2940" w:type="dxa"/>
            <w:vAlign w:val="bottom"/>
            <w:gridSpan w:val="2"/>
            <w:vMerge w:val="continue"/>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80" w:type="dxa"/>
            <w:vAlign w:val="bottom"/>
            <w:gridSpan w:val="4"/>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86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3"/>
          </w:tcPr>
          <w:p>
            <w:pPr>
              <w:jc w:val="right"/>
              <w:ind w:right="81"/>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expenses (income)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income (loss) before tax</w:t>
            </w: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103</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(101</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(98</w:t>
            </w:r>
          </w:p>
        </w:tc>
        <w:tc>
          <w:tcPr>
            <w:tcW w:w="3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(121</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2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8"/>
                <w:szCs w:val="28"/>
                <w:color w:val="auto"/>
                <w:vertAlign w:val="superscript"/>
              </w:rPr>
              <w:t>(1)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w:t>
            </w: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(51)</w:t>
            </w:r>
          </w:p>
        </w:tc>
        <w:tc>
          <w:tcPr>
            <w:tcW w:w="2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left w:val="single" w:sz="8" w:color="CCEEFF"/>
            </w:tcBorders>
            <w:shd w:val="clear" w:color="auto" w:fill="CCEEFF"/>
          </w:tcPr>
          <w:p>
            <w:pPr>
              <w:spacing w:after="0"/>
              <w:rPr>
                <w:sz w:val="21"/>
                <w:szCs w:val="21"/>
                <w:color w:val="auto"/>
              </w:rPr>
            </w:pPr>
          </w:p>
        </w:tc>
        <w:tc>
          <w:tcPr>
            <w:tcW w:w="10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56"/>
        </w:trPr>
        <w:tc>
          <w:tcPr>
            <w:tcW w:w="2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24%</w:t>
            </w:r>
          </w:p>
        </w:tc>
        <w:tc>
          <w:tcPr>
            <w:tcW w:w="92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4"/>
          </w:tcPr>
          <w:p>
            <w:pPr>
              <w:jc w:val="right"/>
              <w:ind w:right="81"/>
              <w:spacing w:after="0"/>
              <w:rPr>
                <w:sz w:val="20"/>
                <w:szCs w:val="20"/>
                <w:color w:val="auto"/>
              </w:rPr>
            </w:pPr>
            <w:r>
              <w:rPr>
                <w:rFonts w:ascii="Arial" w:cs="Arial" w:eastAsia="Arial" w:hAnsi="Arial"/>
                <w:sz w:val="18"/>
                <w:szCs w:val="18"/>
                <w:b w:val="1"/>
                <w:bCs w:val="1"/>
                <w:color w:val="auto"/>
              </w:rPr>
              <w:t>(3%)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(53)</w:t>
            </w:r>
          </w:p>
        </w:tc>
        <w:tc>
          <w:tcPr>
            <w:tcW w:w="220" w:type="dxa"/>
            <w:vAlign w:val="bottom"/>
            <w:tcBorders>
              <w:right w:val="single" w:sz="8" w:color="CCEEFF"/>
            </w:tcBorders>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left w:val="single" w:sz="8" w:color="CCEEFF"/>
            </w:tcBorders>
            <w:shd w:val="clear" w:color="auto" w:fill="CCEEFF"/>
          </w:tcPr>
          <w:p>
            <w:pPr>
              <w:spacing w:after="0"/>
              <w:rPr>
                <w:sz w:val="22"/>
                <w:szCs w:val="22"/>
                <w:color w:val="auto"/>
              </w:rPr>
            </w:pPr>
          </w:p>
        </w:tc>
        <w:tc>
          <w:tcPr>
            <w:tcW w:w="10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(114)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Adjusted EBITDA margin (1)</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24%</w:t>
            </w:r>
          </w:p>
        </w:tc>
        <w:tc>
          <w:tcPr>
            <w:tcW w:w="92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jc w:val="right"/>
              <w:ind w:right="81"/>
              <w:spacing w:after="0"/>
              <w:rPr>
                <w:sz w:val="20"/>
                <w:szCs w:val="20"/>
                <w:color w:val="auto"/>
              </w:rPr>
            </w:pPr>
            <w:r>
              <w:rPr>
                <w:rFonts w:ascii="Arial" w:cs="Arial" w:eastAsia="Arial" w:hAnsi="Arial"/>
                <w:sz w:val="18"/>
                <w:szCs w:val="18"/>
                <w:b w:val="1"/>
                <w:bCs w:val="1"/>
                <w:color w:val="auto"/>
              </w:rPr>
              <w:t>(3%)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EBITDA margin, Adjusted EBITDA and Adjusted EBITDA margin are non-IFRS performance measures; please refer to the Non-IFRS Financial Performance Measures section of this MD&amp;A.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Non-IFRS Performance Measures for Volta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1"/>
        </w:trPr>
        <w:tc>
          <w:tcPr>
            <w:tcW w:w="306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0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4"/>
              </w:rPr>
              <w:t>Three months ended</w:t>
            </w: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4"/>
          </w:tcPr>
          <w:p>
            <w:pPr>
              <w:ind w:left="200"/>
              <w:spacing w:after="0"/>
              <w:rPr>
                <w:sz w:val="20"/>
                <w:szCs w:val="20"/>
                <w:color w:val="auto"/>
              </w:rPr>
            </w:pPr>
            <w:r>
              <w:rPr>
                <w:rFonts w:ascii="Arial" w:cs="Arial" w:eastAsia="Arial" w:hAnsi="Arial"/>
                <w:sz w:val="18"/>
                <w:szCs w:val="18"/>
                <w:b w:val="1"/>
                <w:bCs w:val="1"/>
                <w:color w:val="auto"/>
              </w:rPr>
              <w:t>Six months ended</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98"/>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261"/>
              <w:spacing w:after="0" w:line="198" w:lineRule="exact"/>
              <w:rPr>
                <w:sz w:val="20"/>
                <w:szCs w:val="20"/>
                <w:color w:val="auto"/>
              </w:rPr>
            </w:pPr>
            <w:r>
              <w:rPr>
                <w:rFonts w:ascii="Arial" w:cs="Arial" w:eastAsia="Arial" w:hAnsi="Arial"/>
                <w:sz w:val="18"/>
                <w:szCs w:val="18"/>
                <w:b w:val="1"/>
                <w:bCs w:val="1"/>
                <w:color w:val="auto"/>
              </w:rPr>
              <w:t>June 30</w:t>
            </w:r>
          </w:p>
        </w:tc>
        <w:tc>
          <w:tcPr>
            <w:tcW w:w="8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980" w:type="dxa"/>
            <w:vAlign w:val="bottom"/>
            <w:tcBorders>
              <w:top w:val="single" w:sz="8" w:color="auto"/>
            </w:tcBorders>
            <w:gridSpan w:val="2"/>
          </w:tcPr>
          <w:p>
            <w:pPr>
              <w:jc w:val="right"/>
              <w:ind w:right="221"/>
              <w:spacing w:after="0" w:line="198" w:lineRule="exact"/>
              <w:rPr>
                <w:sz w:val="20"/>
                <w:szCs w:val="20"/>
                <w:color w:val="auto"/>
              </w:rPr>
            </w:pPr>
            <w:r>
              <w:rPr>
                <w:rFonts w:ascii="Arial" w:cs="Arial" w:eastAsia="Arial" w:hAnsi="Arial"/>
                <w:sz w:val="18"/>
                <w:szCs w:val="18"/>
                <w:b w:val="1"/>
                <w:bCs w:val="1"/>
                <w:color w:val="auto"/>
                <w:w w:val="98"/>
              </w:rPr>
              <w:t>June 30</w:t>
            </w:r>
          </w:p>
        </w:tc>
        <w:tc>
          <w:tcPr>
            <w:tcW w:w="78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June 30</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7"/>
                <w:szCs w:val="17"/>
                <w:color w:val="auto"/>
              </w:rPr>
            </w:pPr>
          </w:p>
        </w:tc>
      </w:tr>
      <w:tr>
        <w:trPr>
          <w:trHeight w:val="241"/>
        </w:trPr>
        <w:tc>
          <w:tcPr>
            <w:tcW w:w="3060" w:type="dxa"/>
            <w:vAlign w:val="bottom"/>
            <w:gridSpan w:val="2"/>
          </w:tcPr>
          <w:p>
            <w:pPr>
              <w:spacing w:after="0"/>
              <w:rPr>
                <w:sz w:val="20"/>
                <w:szCs w:val="20"/>
                <w:color w:val="auto"/>
              </w:rPr>
            </w:pPr>
            <w:r>
              <w:rPr>
                <w:rFonts w:ascii="Arial" w:cs="Arial" w:eastAsia="Arial" w:hAnsi="Arial"/>
                <w:sz w:val="18"/>
                <w:szCs w:val="18"/>
                <w:color w:val="auto"/>
              </w:rPr>
              <w:t>For the periods ended as indicated</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4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1"/>
              </w:rPr>
              <w:t>$ Change</w:t>
            </w:r>
          </w:p>
        </w:tc>
        <w:tc>
          <w:tcPr>
            <w:tcW w:w="11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1"/>
              </w:rPr>
              <w:t>$ Change</w:t>
            </w:r>
          </w:p>
        </w:tc>
        <w:tc>
          <w:tcPr>
            <w:tcW w:w="9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Change</w:t>
            </w:r>
          </w:p>
        </w:tc>
      </w:tr>
      <w:tr>
        <w:trPr>
          <w:trHeight w:val="250"/>
        </w:trPr>
        <w:tc>
          <w:tcPr>
            <w:tcW w:w="29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before tax</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3060" w:type="dxa"/>
            <w:vAlign w:val="bottom"/>
            <w:gridSpan w:val="2"/>
          </w:tcPr>
          <w:p>
            <w:pPr>
              <w:spacing w:after="0" w:line="203" w:lineRule="exact"/>
              <w:rPr>
                <w:sz w:val="20"/>
                <w:szCs w:val="20"/>
                <w:color w:val="auto"/>
              </w:rPr>
            </w:pPr>
            <w:r>
              <w:rPr>
                <w:rFonts w:ascii="Arial" w:cs="Arial" w:eastAsia="Arial" w:hAnsi="Arial"/>
                <w:sz w:val="18"/>
                <w:szCs w:val="18"/>
                <w:color w:val="auto"/>
              </w:rPr>
              <w:t>Interest expense (income)</w:t>
            </w:r>
          </w:p>
        </w:tc>
        <w:tc>
          <w:tcPr>
            <w:tcW w:w="8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7"/>
                <w:szCs w:val="17"/>
                <w:color w:val="auto"/>
              </w:rPr>
            </w:pPr>
          </w:p>
        </w:tc>
        <w:tc>
          <w:tcPr>
            <w:tcW w:w="10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(6)</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112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150%</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1000" w:type="dxa"/>
            <w:vAlign w:val="bottom"/>
            <w:gridSpan w:val="2"/>
          </w:tcPr>
          <w:p>
            <w:pPr>
              <w:jc w:val="right"/>
              <w:ind w:right="81"/>
              <w:spacing w:after="0" w:line="203" w:lineRule="exact"/>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(29%)</w:t>
            </w:r>
          </w:p>
        </w:tc>
      </w:tr>
      <w:tr>
        <w:trPr>
          <w:trHeight w:val="249"/>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34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62%</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65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30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EBITDA</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39</w:t>
            </w:r>
          </w:p>
        </w:tc>
        <w:tc>
          <w:tcPr>
            <w:tcW w:w="24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24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320" w:type="dxa"/>
            <w:vAlign w:val="bottom"/>
            <w:tcBorders>
              <w:top w:val="single" w:sz="8" w:color="CCEEFF"/>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20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1"/>
              </w:rPr>
              <w:t>%)</w:t>
            </w:r>
          </w:p>
        </w:tc>
      </w:tr>
      <w:tr>
        <w:trPr>
          <w:trHeight w:val="236"/>
        </w:trPr>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income and other</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3"/>
        </w:trPr>
        <w:tc>
          <w:tcPr>
            <w:tcW w:w="3060" w:type="dxa"/>
            <w:vAlign w:val="bottom"/>
            <w:gridSpan w:val="2"/>
          </w:tcPr>
          <w:p>
            <w:pPr>
              <w:spacing w:after="0" w:line="203" w:lineRule="exact"/>
              <w:rPr>
                <w:sz w:val="20"/>
                <w:szCs w:val="20"/>
                <w:color w:val="auto"/>
              </w:rPr>
            </w:pPr>
            <w:r>
              <w:rPr>
                <w:rFonts w:ascii="Arial" w:cs="Arial" w:eastAsia="Arial" w:hAnsi="Arial"/>
                <w:sz w:val="18"/>
                <w:szCs w:val="18"/>
                <w:color w:val="auto"/>
              </w:rPr>
              <w:t>Adjusted EBITDA</w:t>
            </w:r>
          </w:p>
        </w:tc>
        <w:tc>
          <w:tcPr>
            <w:tcW w:w="8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38</w:t>
            </w: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118</w:t>
            </w:r>
          </w:p>
        </w:tc>
        <w:tc>
          <w:tcPr>
            <w:tcW w:w="2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(68</w:t>
            </w:r>
          </w:p>
        </w:tc>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(53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(114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1"/>
              </w:rPr>
              <w:t>%)</w:t>
            </w:r>
          </w:p>
        </w:tc>
      </w:tr>
      <w:tr>
        <w:trPr>
          <w:trHeight w:val="27"/>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Selected Quarterly Information</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80" w:type="dxa"/>
            <w:vAlign w:val="bottom"/>
            <w:gridSpan w:val="2"/>
          </w:tcPr>
          <w:p>
            <w:pPr>
              <w:spacing w:after="0"/>
              <w:rPr>
                <w:sz w:val="20"/>
                <w:szCs w:val="20"/>
                <w:color w:val="auto"/>
              </w:rPr>
            </w:pPr>
            <w:r>
              <w:rPr>
                <w:rFonts w:ascii="Arial" w:cs="Arial" w:eastAsia="Arial" w:hAnsi="Arial"/>
                <w:sz w:val="18"/>
                <w:szCs w:val="18"/>
                <w:color w:val="auto"/>
              </w:rPr>
              <w:t>(U.S. $ in thousands except where</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Q2 2021</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Q1 2021</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8"/>
              </w:rPr>
              <w:t>Q4 2020</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8"/>
              </w:rPr>
              <w:t>Q3 2020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7"/>
              </w:rPr>
              <w:t>Q2 2020*</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Q1 2020</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Q4 2019</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Q3 2019</w:t>
            </w:r>
          </w:p>
        </w:tc>
        <w:tc>
          <w:tcPr>
            <w:tcW w:w="0" w:type="dxa"/>
            <w:vAlign w:val="bottom"/>
          </w:tcPr>
          <w:p>
            <w:pPr>
              <w:spacing w:after="0"/>
              <w:rPr>
                <w:sz w:val="1"/>
                <w:szCs w:val="1"/>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04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36,687</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2,746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(3,029)</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1,833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2,299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57"/>
        </w:trPr>
        <w:tc>
          <w:tcPr>
            <w:tcW w:w="32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23,827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19,701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(3,675)</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(7,605)</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(5,374)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(4,761)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(3,730)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(2,424)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1,125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Bitcoin Halving Event occurred on May 11, 2020, during Q2 2020.</w:t>
      </w:r>
    </w:p>
    <w:p>
      <w:pPr>
        <w:spacing w:after="0" w:line="225" w:lineRule="exact"/>
        <w:rPr>
          <w:sz w:val="20"/>
          <w:szCs w:val="20"/>
          <w:color w:val="auto"/>
        </w:rPr>
      </w:pPr>
    </w:p>
    <w:p>
      <w:pPr>
        <w:jc w:val="both"/>
        <w:ind w:left="340" w:hanging="332"/>
        <w:spacing w:after="0" w:line="209" w:lineRule="auto"/>
        <w:tabs>
          <w:tab w:leader="none" w:pos="34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EBITDA and Adjusted EBITDA are non-IFRS performance measures; please refer to the Non-IFRS Financial Performance Measures section of this MD&amp;A and the Company’s corresponding quarterly MD&amp;As available on Sedar, for reconciliations of the Non-IFRS performance measures and related periods presented above.</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generally not subject to seasonality. Factors that may impact Revenues and profitability quarter over quarter include cryptocurrency pricing, network difficulty and the Company’s hashrate.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color w:val="auto"/>
              </w:rPr>
              <w:t>Cash Flows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3"/>
        </w:trPr>
        <w:tc>
          <w:tcPr>
            <w:tcW w:w="594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26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Six month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June 30</w:t>
            </w:r>
          </w:p>
        </w:tc>
        <w:tc>
          <w:tcPr>
            <w:tcW w:w="11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periods ended as indicated</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5,947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Cash flows from (used in):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(17,296)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(102,135)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(2,614)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(99,521)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nm</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149,692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150,296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nm</w:t>
            </w:r>
          </w:p>
        </w:tc>
      </w:tr>
      <w:tr>
        <w:trPr>
          <w:trHeight w:val="237"/>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Exchange rate differences on currency translation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r>
      <w:tr>
        <w:trPr>
          <w:trHeight w:val="223"/>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from operating activities decreased by $19.7 million during the six months ended June 30, 2021, compared to six months ended June 30, 2020. The decrease in net cash flows from operating activities was primarily driven by the initiation of a Bitcoin retention program which led to 1,293 Bitcoin being held in custody at the end of the period rather than being converted into fiat currency. Cash flows from operating activities were also negatively impacted by an unfavorable change in non-cash working capital components of $2.3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used in investing activities increased by $99.5 million during the six months ended June 30, 2021, compared to six months ended June 30, 2020. This was primarily due to $73.4 million in advanced payments made on new Mining hardware, mostly related to securing the delivery of 7,300 Bitmain Miners and 48,000 MicroBT Miners for delivery in 2021 and 2022, respectively, and $28.8 million of additions to property, plant and equipment in YTD Q2 2021 for Miners and infrastructure buildout, compared to $2.6 million of net additions in YTD Q2 2020.</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financing activities increased by $150.3 million during the six months ended June 30, 2021, compared to the six months ended June 30, 2020. This was primarily due to $114.5 million of total net proceeds received from four private placements to U.S. institutional investors, $43.6 million of proceeds from the exercise of warrants and stock options and $9.3 million of proceeds from new long-term debt. These proceeds were partially offset by approximately $15.2 million of payments to retire the Dominion Capital loan and service new debt obligations, and lease liability repayments of approximately $2.4 million. In YTD Q2 2020, $0.2 million was raised from the exercise of warrants and long-term debt and lease repayments were $0.35 and $0.45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at June 30, 2021, Bitfarms had a positive working capital of $64.5 million, compared to a working capital deficit of $19.3 million, as at December 31, 2020. The improvement in working capital was primarily due to $158.1 million raised in the four private placements and the exercise of warrants and stock options, and the accumulation of 1,293 Bitcoin with a fair value approximating $45.3 million as of June 30, 2021. The proceeds were applied to the repayment of the Dominion Capital loan and to advanced payments made to suppliers to secure orders of Mining hardware and electrical distribution equipment for infrastructure expansion plans. The remaining are to be used to expand infrastructure capacity, acquire additional Miners, and for working capital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capital management objective is to provide the financial resources that will enable the Company to maximize the return to its shareholders.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there are sufficient financial resourced and capability to pursue to pursue organic and acquisitive growth.</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anticipates that its existing financial resources will be sufficient to complete all previously announced acquisitions of mining hardware with deliveries scheduled in 2021 including its mining hardware acquisitions required to reach its target of 3.0 Exahash in the first quarter of 2022. In addition, the Company anticipates that it will be able to complete its previously announced Quebec infrastructure expansion at the Cowansville Facility using its existing financial resources. In order to achieve these business objectives, the Company may liquidate or borrow against the Bitcoin that have been accumulated as of the date hereof as well as Bitcoin generated from ongoing operations, which may or may not be possible on commercially attractive terms. The Company presently anticipates that additional financing will be required to complete the required remaining payments on its order of 48,000 Miners scheduled for delivery in 2022 and to complete construction of the South American expansion, both of which are necessary for the Company to meet its broader objective of generating 8.0 Exahash of computing power by the end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Bitfarms may manage its capital structure by issuing equity, obtaining loan financing, adjusting capital spending, or disposing of assets.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Retention Program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early January 2021, the Company implemented a Bitcoin retention program pursuant to which the Company has added approximately 1,840 Bitcoin to its balance sheet, valued at approximately $87.9 million as of August 13,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described its expansion plans below under the sections “Cowansville Expansion” and “Sherbrooke Expansion”. The estimated costs and timelines to achieve these expansion plans may change based on, among other things,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the underlying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Cowansville Expansion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construction of Phase 2 at its Mining facility in Cowansville, Quebec, in 2021, estimated to cost between $3.0 million and $3.5 million. This will expand the site from 4 MW to its full 16.7MW capacity and accommodate up to 4,700 new generation miners. The buildout also includes a new repair lab and operations command center and is expected to be completed in Q3 2021. The Company anticipates using the additional capacity at Cowansville to accommodate Mining hardware orders with expected deliveries in Q3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Sherbrooke Expansion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completed Phases 1 and 2 of the Sherbrooke Expansion in 2019. To complete the remaining four phases of the Sherbrooke Expansion, Bitfarms will incur infrastructure buildout costs including exhaust structure, Mining structure and building modifications, as well as sourcing of Mining hardware and electrical components.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capital cost for the construction of the infrastructure for Phases 3 through 6 is currently estimated at approximately $15 million. The Company has commenced preliminary steps to complete Stages 3 through 6, including placing orders and deposits on longer lead-time infrastructure, such as transformers and exhaust components required for the remaining 68MW of contractually secured energy with Hydro-Sherbrooke. In addition, the Mining hardware required to fill the new infrastructure expansion is estimated to cost from $80 million to $90 million, based on recent hardware pricing. The Company anticipates that these costs will mainly be allocated to the Company’s Leger facility. The Company also anticipates that it may need to identify and develop a third facility in Sherbrooke to fully utilize the 68 MW.</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response to complaints concerning noise at the Sherwood property and indications from Sherbrooke municipal officials that they were reviewing applicable regulations, the Company met with community residents and city officials on several occasions during 2020 and 2021. The Company constructed a sound barrier wall at a cost of approximately $0.3 million in 2020 and invested $0.5 million to install quieter exhaust structures and fans as well as other sound mitigating measures in 2021. The Company, in conjunction with the municipality of Sherbrooke, is currently evaluating the effectiveness of these measures and the necessity of implementing additional measures to attenuate the proper sound levels.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Share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MD&amp;A, the Company has 167,987,977 common shares, 3,555,600 vested employee stock options, 7,928,575 unvested employee stock options and 20,232,060 warrants outstanding and 200,000 restricted stock units. There are no preferred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the Company does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&amp;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include cash, trade receivables, and other assets. The Company’s financial liabilities include trade payables and accrued liabilities, lease liabilities and long-term debt.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instruments expose it primarily to credit, liquidity, foreign currency, concentration and custody of digital assets risks. Refer to the Financial Instruments &amp; Risk section of the Company’s MD&amp;A for the year ended December 31, 2020, for a description of these risks and how they are managed, as well as Note 18, Financial Instruments, to the Company’s consolidated financial statements for the year ended December 31, 2020, and Note 4, Digital Assets, to the Company’s consolidated financial statements for the period ended June 30, 2021, for a description of how fair values are determined.</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six months ended June 30 ,2021, there were no material changes to the risks related to financial instruments and no changes in the financial instrument classifications, compared to year-end 2020, other than the derecognition of the Dominion Capital loan and those described below. Furthermore, the methodology used to determine the fair value of financial instruments has not changed during the six months ended June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 of digital assets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Backbone’s digital assets, currently Bitcoin, are mined to multi-signature wallets that Backbone controls. Backbone transfers Bitcoin from its multi-signature wallets to external third-party custodians on a regular basis, specifically Gemini Trust Company, LLC (“Gemini Custody”) and Coinbase Custody Trust Company, LLC (“Coinbase Custody”, and together with Gemini Custody, the “Custodians”). Both Gemini Custody and Coinbase Custody are U.S. based fiduciary and qualified custodians under New York Banking Law and are licensed by the State of New York to custody digital assets. Currently, both Custodians do not use sub-custodians and only provide custodial services to Backbone. Gemini Custody is a New York State-chartered limited purpose trust company that is authorized under Article III § 96 of the New York Banking Law to provide certain custodial services, and it is a “Qualified Custodian” as defined by the New York Codes, Rules and Regulations Title 23, Part 200.2(n). Coinbase Custody is a fiduciary of § 100 of the New York Banking Law and is licensed to custody its clients’ digital assets in trust on their behalf. Coinbase Custody is a qualified custodian for purposes of § 206 (4) -2(d)(6) of the Advisers Act.</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early January 2021, the Company implemented a Bitcoin retention program, pursuant to which the Company has added approximately 1,840 Bitcoin valued at $87.9 million on August 13, 2021 to its balance sheet as of the date hereof. As of the date of this MD&amp;A, 100% of the Company’s Bitcoin are held in custody.</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Gemini Custody maintains an insurance policy of $200 million for its cold storage. In May 2021, Gemini Custody announced in excess of $30 billion in cryptocurrencies under custody. As a result, if Gemini Custody were to experience a loss of cryptocurrency assets in excess of $200 million, it is likely that a portion of the Company’s cryptocurrency under custody would not be covered by this insurance policy. Coinbase Custody maintains an insurance policy of $320 million for hot, warm and cold storage and recently announced in excess of $180 billion in assets on their platform, of which more than 50% are under custody. As a result, if Coinbase Custody were to experience a loss of cryptocurrency assets in excess of $320 million, it is likely that a portion of the Company’s cryptocurrency under custody would not be covered by this insurance policy. The Company is unaware of any security breaches involving Gemini Custody or Coinbase Custody which have resulted in crypto assets being lost or stolen. Regardless of efforts made by the Company to securely store and safeguard assets, there can be no assurance that the Company’s cryptocurrency assets will not be defalcated through hacking or other forms of theft.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Counterparty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Counterparty risk is the risk of an unexpected loss if a third party fails to meet its contractual obligations, including those associated with long-term deposits and equipment prepayments. The Company is exposed to counterparty risk primarily through its significant deposits it places with suppliers of cryptocurrency Mining hardware to secure orders and delivery dates. The risk of a supplier failing to meet its contractual obligations may result in late deliveries or long-term deposits and equipment prepayments that are not realized. The Company attempts to mitigate this risk by procuring Mining hardware from established manufacturers with whom it maintains strong relationships.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Liquidity Risk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Liquidity risk is the risk that the Company will not be able to pay its financial obligations when they become due. The Company’s policy is to monitor its cash balances and planned cash flows generated from operations to ensure, as far as possible, that it maintains sufficient liquidity to meet its projected financial obligations. The Company has entered into agreements with Mining hardware manufacturers that require significant deposits in advance of receiving the revenue generating equipment. The Company may manage its capital structure by issuing equity, obtaining loan financing, adjusting capital spending, or disposing of assets in order to maintain liquidity to meet its contractual obligations with Mining hardware manufacturers.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placed deposits on mining hardware and electrical components in the amount of $73.4 million. These deposits are mainly for orders placed on 7,300 Antminer and 48,000 Whatsminer miners with expected delivery in late 2021 and 2022, respectively, as well as 1,500 Whatsminer miners delivered in July 2021. The table below outlines the Company’s remaining payment obligations in connection with the purchase agreements described above, presented in thousands of U.S. dollars:</w:t>
      </w:r>
    </w:p>
    <w:p>
      <w:pPr>
        <w:sectPr>
          <w:pgSz w:w="11900" w:h="16838" w:orient="portrait"/>
          <w:cols w:equalWidth="0" w:num="1">
            <w:col w:w="11240"/>
          </w:cols>
          <w:pgMar w:left="320" w:top="4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Three months ended March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Three months ended September 30, 2022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3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24,500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30,500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26,400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12,600</w:t>
      </w:r>
    </w:p>
    <w:p>
      <w:pPr>
        <w:spacing w:after="0" w:line="35"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176,800</w:t>
      </w:r>
    </w:p>
    <w:p>
      <w:pPr>
        <w:spacing w:after="0" w:line="200" w:lineRule="exact"/>
        <w:rPr>
          <w:sz w:val="20"/>
          <w:szCs w:val="20"/>
          <w:color w:val="auto"/>
        </w:rPr>
      </w:pPr>
    </w:p>
    <w:p>
      <w:pPr>
        <w:sectPr>
          <w:pgSz w:w="11900" w:h="16838" w:orient="portrait"/>
          <w:cols w:equalWidth="0" w:num="2">
            <w:col w:w="9300" w:space="720"/>
            <w:col w:w="1220"/>
          </w:cols>
          <w:pgMar w:left="320" w:top="445" w:right="339" w:bottom="1440" w:gutter="0" w:footer="0" w:header="0"/>
          <w:type w:val="continuous"/>
        </w:sectPr>
      </w:pP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require additional sources of financing to meet the payment obligations included in the table above. If the Company were unable to obtain such financing, or the Bitcoin price and network difficulty were adversely impacted, then the Company may have difficulty meeting its payment obligations. If the Company were unable to meet its payment obligations, the counterparty to the contracts may result in the loss of any equipment prepayments and deposits paid by the Company under the purchase agreement, remedial legal measures against the Company which may include seeking damages and forced continuance of the contractual arrangement. Under these circumstances, the Company’s growth plans and ongoing operations could be adversely impacted.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commitments described above, in May 2021 the Company entered into three loan agreements to acquire a total of 1,000 Whatsminer miners with expected delivery from September through October 2021. The loan terms are 18 months, beginning in September through October 2021, at an effective interest rate of 18.6% with total monthly repayments averaging $0.3 million. The loans will be secured by the 1,000 Whatsminer miners described above.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liabilities includes financial obligations with contractual maturities, inclusive of interest, presented in thousands of U.S. dollars as of June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63"/>
        </w:trPr>
        <w:tc>
          <w:tcPr>
            <w:tcW w:w="100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4,547</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r>
      <w:tr>
        <w:trPr>
          <w:trHeight w:val="250"/>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2,993</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12,335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inclusive of interest, presented in thousands of U.S. dollars as of June 30,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7,488</w:t>
            </w:r>
          </w:p>
        </w:tc>
        <w:tc>
          <w:tcPr>
            <w:tcW w:w="80" w:type="dxa"/>
            <w:vAlign w:val="bottom"/>
          </w:tcPr>
          <w:p>
            <w:pPr>
              <w:spacing w:after="0"/>
              <w:rPr>
                <w:sz w:val="18"/>
                <w:szCs w:val="18"/>
                <w:color w:val="auto"/>
              </w:rPr>
            </w:pPr>
          </w:p>
        </w:tc>
      </w:tr>
      <w:tr>
        <w:trPr>
          <w:trHeight w:val="250"/>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12,971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risks and uncertainties which Management considers as the most material to the Corporation’s business are described in the section entitled, Other Risks, of the Company’s MD&amp;A for the year-ended December 31, 2020 dated March 24, 2021. Other than the disclosure above, these risks and uncertainties have not materially changed and are hereby incorporated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 period ended June 30, 2021, the Company had the following transactions with related parties:</w:t>
      </w:r>
    </w:p>
    <w:p>
      <w:pPr>
        <w:spacing w:after="0" w:line="225" w:lineRule="exact"/>
        <w:rPr>
          <w:sz w:val="20"/>
          <w:szCs w:val="20"/>
          <w:color w:val="auto"/>
        </w:rPr>
      </w:pPr>
    </w:p>
    <w:p>
      <w:pPr>
        <w:ind w:left="260" w:hanging="252"/>
        <w:spacing w:after="0" w:line="308" w:lineRule="auto"/>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Bitfarms made rent payments totaling approximately $0.1 million and $0.2 million for the three and six month periods ended June 30, 2021, respectively, (three and six months ended June 30, 2020 - $0.1 million and $0.2 million, respectively) to companies controlled by certain directors.</w:t>
      </w:r>
    </w:p>
    <w:p>
      <w:pPr>
        <w:spacing w:after="0" w:line="146" w:lineRule="exact"/>
        <w:rPr>
          <w:rFonts w:ascii="Arial" w:cs="Arial" w:eastAsia="Arial" w:hAnsi="Arial"/>
          <w:sz w:val="17"/>
          <w:szCs w:val="17"/>
          <w:color w:val="auto"/>
        </w:rPr>
      </w:pPr>
    </w:p>
    <w:p>
      <w:pPr>
        <w:jc w:val="both"/>
        <w:ind w:left="260" w:hanging="252"/>
        <w:spacing w:after="0" w:line="263" w:lineRule="auto"/>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Bitfarms entered into consulting agreements with two of the directors. The consulting fees charged by directors totaled approximately $0.1 million and $0.2 million for the three and six month periods ended June 30, 2021, respectively (three and six months ended June 30, 2020 - $0.1 million and $0.2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listed above were incurred in the normal course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Recent and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August 2021, 5,404,625 warrants related to the private placement closed on February 7, 2021, were exercised resulting in the issuance of 5,404,625 common shares for proceeds of approximately $16.3 million.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unaudited interim condensed consolidated financial statements have been prepared in accordance with IAS 34, “Interim Financial Reporting” as issued by the International Accounting Standards Board and are based on the same accounting policies as those used in the preparation of the Corporation’s audited consolidated financial statements for the year ended December 31,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refer Note 2, Significant accounting policies, and Note 3, Change in accounting policy, to the Company’s 2020 audited consolidated financial statements for more information about the significant accounting principles. Also refer to Note 4, significant accounting judgements and estimates, of the Company’s 2020 audited consolidated financial statements for more information about significant accounting judgments and estimates used to prepare the unaudited interim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70" w:lineRule="exact"/>
        <w:rPr>
          <w:sz w:val="20"/>
          <w:szCs w:val="20"/>
          <w:color w:val="auto"/>
        </w:rPr>
      </w:pP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COVID 19 pandemic;</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availability of financing opportunities and risks associated with economic conditions, including Bitcoin price and Bitcoin network difficulty;</w:t>
      </w:r>
    </w:p>
    <w:p>
      <w:pPr>
        <w:spacing w:after="0" w:line="236" w:lineRule="exact"/>
        <w:rPr>
          <w:rFonts w:ascii="Arial" w:cs="Arial" w:eastAsia="Arial" w:hAnsi="Arial"/>
          <w:sz w:val="17"/>
          <w:szCs w:val="17"/>
          <w:color w:val="auto"/>
        </w:rPr>
      </w:pP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and regulatory risk; and</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above is not an exhaustive list of the factors that may affect the Company’s forward-looking statements. Other risks and uncertainties not presently known to the Company or that the Company presently believes are not material could also cause actual results or events to differ materially from those expressed in its forward-looking statements. Additional risks and uncertainties are discussed in the Company’s materials filed with the Canadian Securities Authorities, including the Company’s annual MD&amp;A dated March 24, 2021.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Non-IFRS Financial Performance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revaluation gains or losses on digital assets and (v) other non-cash expenses. “Adjusted EBITDA margin” is defined as the percentage obtained when dividing Adjusted EBITDA by Revenues. “Gross mining profit” is defined as Revenues minus energy and infrastructure expenses for the Backbone segment of the Company. “Gross mining margin” is defined as the percentage obtained when dividing Gross mining profit by Revenues for the Backbone segment of the Company.</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establishing and maintaining a system of disclosure controls and procedures to provide reasonable assurance that all material information relating to the Company and its subsidiaries is gathered and reported to senior management on a timely basis so that appropriate decisions can be made regarding public disclosure.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adequate internal controls over financial reporting to provide reasonable assurance regarding the reliability of financial reporting and the preparation of consolidated financial statements for external purposes in accordance with IFRS. In designing such controls, it should be recognized that due to inherent limitations, any control, no matter how well designed and operated, can provide only reasonable assurance of achieving the desired control objectives and may not prevent or detect misstatements. Additionally, management is required to use judgment in evaluating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ASIC stands for Application Specific Integrated Circuit and refers primarily to specific computer devices designed to solve the SHA-256 algorithm,</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other machines used in the Mining of Litecoin which use the Scrypt algorithm.</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Bitcoin: </w:t>
      </w:r>
      <w:r>
        <w:rPr>
          <w:rFonts w:ascii="Arial" w:cs="Arial" w:eastAsia="Arial" w:hAnsi="Arial"/>
          <w:sz w:val="18"/>
          <w:szCs w:val="18"/>
          <w:color w:val="auto"/>
        </w:rPr>
        <w:t>Bitcoin is a decentralized digital currency that is not controlled by any centralized authority (e.g. a government, financial institution or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A Bitcoin block reward refers to the new bitcoin that are awarded by the Blockchain network to eligible cryptocurrency miners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block they successfully mine. The current block reward is 6.25 Bitcoin per block.</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6011545</wp:posOffset>
            </wp:positionH>
            <wp:positionV relativeFrom="page">
              <wp:posOffset>277495</wp:posOffset>
            </wp:positionV>
            <wp:extent cx="1097280"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097280" cy="308610"/>
                    </a:xfrm>
                    <a:prstGeom prst="rect">
                      <a:avLst/>
                    </a:prstGeom>
                    <a:noFill/>
                  </pic:spPr>
                </pic:pic>
              </a:graphicData>
            </a:graphic>
          </wp:anchor>
        </w:drawing>
        <w:t>Bitfarms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Blockchain: </w:t>
      </w:r>
      <w:r>
        <w:rPr>
          <w:rFonts w:ascii="Arial" w:cs="Arial" w:eastAsia="Arial" w:hAnsi="Arial"/>
          <w:sz w:val="17"/>
          <w:szCs w:val="17"/>
          <w:color w:val="auto"/>
        </w:rPr>
        <w:t>A Blockchain is a cloud-based public ledger that exists on computers that participate on the network globally. The Blockchain grows as new</w:t>
      </w:r>
      <w:r>
        <w:rPr>
          <w:rFonts w:ascii="Arial" w:cs="Arial" w:eastAsia="Arial" w:hAnsi="Arial"/>
          <w:sz w:val="17"/>
          <w:szCs w:val="17"/>
          <w:b w:val="1"/>
          <w:bCs w:val="1"/>
          <w:color w:val="auto"/>
        </w:rPr>
        <w:t xml:space="preserve"> </w:t>
      </w:r>
      <w:r>
        <w:rPr>
          <w:rFonts w:ascii="Arial" w:cs="Arial" w:eastAsia="Arial" w:hAnsi="Arial"/>
          <w:sz w:val="17"/>
          <w:szCs w:val="17"/>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6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Hash: </w:t>
      </w:r>
      <w:r>
        <w:rPr>
          <w:rFonts w:ascii="Arial" w:cs="Arial" w:eastAsia="Arial" w:hAnsi="Arial"/>
          <w:sz w:val="17"/>
          <w:szCs w:val="17"/>
          <w:color w:val="auto"/>
        </w:rPr>
        <w:t>A hash is a function that converts or maps an input of letters and numbers into an encrypted output of a fixed length, which outputs are often</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as hashes. A hash is created using an algorithm. The algorithm used in the validation of Bitcoin transactions is the SHA-256 algorithm.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Hashrate: </w:t>
      </w:r>
      <w:r>
        <w:rPr>
          <w:rFonts w:ascii="Arial" w:cs="Arial" w:eastAsia="Arial" w:hAnsi="Arial"/>
          <w:sz w:val="17"/>
          <w:szCs w:val="17"/>
          <w:color w:val="auto"/>
        </w:rPr>
        <w:t>Hashrate refers to the number of hash operations performed per second and is a measure of computing power in Mining cryptocurrency.</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Megawatt: </w:t>
      </w:r>
      <w:r>
        <w:rPr>
          <w:rFonts w:ascii="Arial" w:cs="Arial" w:eastAsia="Arial" w:hAnsi="Arial"/>
          <w:sz w:val="18"/>
          <w:szCs w:val="18"/>
          <w:color w:val="auto"/>
        </w:rPr>
        <w:t>A megawatt is 1,000 kilowatts of electricity and, in the industry of cryptocurrency Mining, is typically a reference to the number of megawatts</w:t>
      </w:r>
      <w:r>
        <w:rPr>
          <w:rFonts w:ascii="Arial" w:cs="Arial" w:eastAsia="Arial" w:hAnsi="Arial"/>
          <w:sz w:val="18"/>
          <w:szCs w:val="18"/>
          <w:b w:val="1"/>
          <w:bCs w:val="1"/>
          <w:color w:val="auto"/>
        </w:rPr>
        <w:t xml:space="preserve"> </w:t>
      </w:r>
      <w:r>
        <w:rPr>
          <w:rFonts w:ascii="Arial" w:cs="Arial" w:eastAsia="Arial" w:hAnsi="Arial"/>
          <w:sz w:val="18"/>
          <w:szCs w:val="18"/>
          <w:color w:val="auto"/>
        </w:rPr>
        <w:t>of electricity per hour that is available for 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Miners: </w:t>
      </w:r>
      <w:r>
        <w:rPr>
          <w:rFonts w:ascii="Arial" w:cs="Arial" w:eastAsia="Arial" w:hAnsi="Arial"/>
          <w:sz w:val="18"/>
          <w:szCs w:val="18"/>
          <w:color w:val="auto"/>
        </w:rPr>
        <w:t>ASICs used by the Company to perform Mining.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w:t>
      </w:r>
      <w:r>
        <w:rPr>
          <w:rFonts w:ascii="Arial" w:cs="Arial" w:eastAsia="Arial" w:hAnsi="Arial"/>
          <w:sz w:val="18"/>
          <w:szCs w:val="18"/>
          <w:color w:val="auto"/>
        </w:rPr>
        <w:t>Mining refers to the process of using specialized computer hardware, and in the case of the Company, ASICs, to perform mathematical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to confirm transactions and increase security for the Bitcoin Blockchain. As a reward for their services, Bitcoin Miners collect transaction fees for the transactions they confirm, along with newly created Bitcoin as Block Rewards.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Pool: </w:t>
      </w:r>
      <w:r>
        <w:rPr>
          <w:rFonts w:ascii="Arial" w:cs="Arial" w:eastAsia="Arial" w:hAnsi="Arial"/>
          <w:sz w:val="18"/>
          <w:szCs w:val="18"/>
          <w:color w:val="auto"/>
        </w:rPr>
        <w:t>A Mining pool is a group of cryptocurrency miners who pool their computational resources, or Hashrate, in order to increase the probability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finding a block on the Bitcoin Blockchain. Mining pools administer regular payouts to mitigate the risk of Miners operating for a prolonged period of time without finding a block.</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Network Difficulty: </w:t>
      </w:r>
      <w:r>
        <w:rPr>
          <w:rFonts w:ascii="Arial" w:cs="Arial" w:eastAsia="Arial" w:hAnsi="Arial"/>
          <w:sz w:val="18"/>
          <w:szCs w:val="18"/>
          <w:color w:val="auto"/>
        </w:rPr>
        <w:t>Network difficulty is a unitless measure of how difficult it is to find a hash below a given target. The Bitcoin network protocol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adjusts Network Difficulty by changing the target every 2,016 blocks hashed based on the time it took for the total computing power used in Bitcoin Mining to solve the previous 2,016 blocks such that the average time to solve each block is ten minutes.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Network Hashrate: </w:t>
      </w:r>
      <w:r>
        <w:rPr>
          <w:rFonts w:ascii="Arial" w:cs="Arial" w:eastAsia="Arial" w:hAnsi="Arial"/>
          <w:sz w:val="17"/>
          <w:szCs w:val="17"/>
          <w:color w:val="auto"/>
        </w:rPr>
        <w:t>Network Hashrate refers to the total global Hashrate (and related computing power) used in Mining for a given cryptocurrency.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Petahash: </w:t>
      </w:r>
      <w:r>
        <w:rPr>
          <w:rFonts w:ascii="Arial" w:cs="Arial" w:eastAsia="Arial" w:hAnsi="Arial"/>
          <w:sz w:val="18"/>
          <w:szCs w:val="18"/>
          <w:color w:val="auto"/>
        </w:rPr>
        <w:t>One quadrillion (1,000,000,000,000,000) hashes per second or one thousand Terahash</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SHA-256: </w:t>
      </w:r>
      <w:r>
        <w:rPr>
          <w:rFonts w:ascii="Arial" w:cs="Arial" w:eastAsia="Arial" w:hAnsi="Arial"/>
          <w:sz w:val="18"/>
          <w:szCs w:val="18"/>
          <w:color w:val="auto"/>
        </w:rPr>
        <w:t>SHA stands for Secure Hash Algorithm. The SHA-256 algorithm was designed by the US National Security Agency and is the cryptographic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hash function used within the Bitcoin network to validate transactions on the Bitcoin Blockchain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Terahash: </w:t>
      </w:r>
      <w:r>
        <w:rPr>
          <w:rFonts w:ascii="Arial" w:cs="Arial" w:eastAsia="Arial" w:hAnsi="Arial"/>
          <w:sz w:val="18"/>
          <w:szCs w:val="18"/>
          <w:color w:val="auto"/>
        </w:rPr>
        <w:t>One trillion (1,000,000,000,000) hashes per second.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Q2 2021 MD&amp;A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 – IPO/RTO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 Following 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Initial Public Offering, Reverse Takeover or Becoming a Non-Venture Issuer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Emiliano Joel Grodzki, Chief Executive Officer of Bitfarms Ltd., certify the following:</w:t>
      </w:r>
    </w:p>
    <w:p>
      <w:pPr>
        <w:spacing w:after="0" w:line="225" w:lineRule="exact"/>
        <w:rPr>
          <w:sz w:val="20"/>
          <w:szCs w:val="20"/>
          <w:color w:val="auto"/>
        </w:rPr>
      </w:pPr>
    </w:p>
    <w:p>
      <w:pPr>
        <w:ind w:right="2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June 30, 2021.</w:t>
      </w:r>
    </w:p>
    <w:p>
      <w:pPr>
        <w:spacing w:after="0" w:line="170"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firstLine="8"/>
        <w:spacing w:after="0" w:line="263" w:lineRule="auto"/>
        <w:tabs>
          <w:tab w:leader="none" w:pos="207"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w:t>
      </w:r>
      <w:r>
        <w:rPr>
          <w:rFonts w:ascii="Arial" w:cs="Arial" w:eastAsia="Arial" w:hAnsi="Arial"/>
          <w:sz w:val="18"/>
          <w:szCs w:val="18"/>
          <w:i w:val="1"/>
          <w:iCs w:val="1"/>
          <w:color w:val="auto"/>
        </w:rPr>
        <w:t>Emiliano Joel Grodzki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Emiliano Joel Grodzki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NOTE TO READER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9947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209"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 xml:space="preserve">In contrast to the usual certificate required for non-venture issuers under National Instrument 52-109 </w:t>
      </w:r>
      <w:r>
        <w:rPr>
          <w:rFonts w:ascii="Arial" w:cs="Arial" w:eastAsia="Arial" w:hAnsi="Arial"/>
          <w:sz w:val="16"/>
          <w:szCs w:val="16"/>
          <w:i w:val="1"/>
          <w:iCs w:val="1"/>
          <w:color w:val="auto"/>
        </w:rPr>
        <w:t>Certification of Disclosure in Issuers’ Annual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Interim Filings </w:t>
      </w:r>
      <w:r>
        <w:rPr>
          <w:rFonts w:ascii="Arial" w:cs="Arial" w:eastAsia="Arial" w:hAnsi="Arial"/>
          <w:sz w:val="16"/>
          <w:szCs w:val="16"/>
          <w:color w:val="auto"/>
        </w:rPr>
        <w:t>(NI 52-109), namely, Form 52-109F2, this Form 52-109F2 – IPO/RTO does not include representations relating to the establishment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of disclosure controls and procedures (DC&amp;P) and internal control over financial reporting (ICFR), as defined in NI 52-109. In particular, the certifying officers filing this certificate are not making any representations relating to the establishment and maintenance of:</w:t>
      </w:r>
    </w:p>
    <w:p>
      <w:pPr>
        <w:spacing w:after="0" w:line="157" w:lineRule="exact"/>
        <w:rPr>
          <w:sz w:val="20"/>
          <w:szCs w:val="20"/>
          <w:color w:val="auto"/>
        </w:rPr>
      </w:pPr>
    </w:p>
    <w:p>
      <w:pPr>
        <w:jc w:val="both"/>
        <w:ind w:left="760" w:right="120" w:firstLine="7"/>
        <w:spacing w:after="0" w:line="263" w:lineRule="auto"/>
        <w:tabs>
          <w:tab w:leader="none" w:pos="9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controls and other procedures designed to provide reasonable assurance that information required to be disclosed by the issuer in its annual filings, interim filings or other reports filed or submitted under securities legislation is recorded, processed, summarized and reported within the time periods specified in securities legislation; and</w:t>
      </w:r>
    </w:p>
    <w:p>
      <w:pPr>
        <w:spacing w:after="0" w:line="183" w:lineRule="exact"/>
        <w:rPr>
          <w:rFonts w:ascii="Arial" w:cs="Arial" w:eastAsia="Arial" w:hAnsi="Arial"/>
          <w:sz w:val="18"/>
          <w:szCs w:val="18"/>
          <w:color w:val="auto"/>
        </w:rPr>
      </w:pPr>
    </w:p>
    <w:p>
      <w:pPr>
        <w:ind w:left="760" w:right="120" w:firstLine="7"/>
        <w:spacing w:after="0" w:line="277" w:lineRule="auto"/>
        <w:tabs>
          <w:tab w:leader="none" w:pos="9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process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issuer’s certifying officers are responsible for ensuring that processes are in place to provide them with sufficient knowledge to support the representations they are making in this certificate.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Investors should be aware that inherent limitations on the ability of certifying officers of an issuer to design and implement on a cost effective basis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DC&amp;P and ICFR as defined in NI 52-109 in the first financial period following:</w:t>
      </w:r>
    </w:p>
    <w:p>
      <w:pPr>
        <w:spacing w:after="0" w:line="211" w:lineRule="exact"/>
        <w:rPr>
          <w:sz w:val="20"/>
          <w:szCs w:val="20"/>
          <w:color w:val="auto"/>
        </w:rPr>
      </w:pPr>
    </w:p>
    <w:p>
      <w:pPr>
        <w:ind w:left="980" w:hanging="3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completion of the issuer’s initial public offering in the circumstances described in s. 5.3 of NI 52-109;</w:t>
      </w:r>
    </w:p>
    <w:p>
      <w:pPr>
        <w:spacing w:after="0" w:line="225" w:lineRule="exact"/>
        <w:rPr>
          <w:rFonts w:ascii="Arial" w:cs="Arial" w:eastAsia="Arial" w:hAnsi="Arial"/>
          <w:sz w:val="18"/>
          <w:szCs w:val="18"/>
          <w:color w:val="auto"/>
        </w:rPr>
      </w:pPr>
    </w:p>
    <w:p>
      <w:pPr>
        <w:ind w:left="980" w:hanging="3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completion of a reverse takeover in the circumstances described in s. 5.4 of NI 52-109; or</w:t>
      </w:r>
    </w:p>
    <w:p>
      <w:pPr>
        <w:spacing w:after="0" w:line="225" w:lineRule="exact"/>
        <w:rPr>
          <w:rFonts w:ascii="Arial" w:cs="Arial" w:eastAsia="Arial" w:hAnsi="Arial"/>
          <w:sz w:val="18"/>
          <w:szCs w:val="18"/>
          <w:color w:val="auto"/>
        </w:rPr>
      </w:pPr>
    </w:p>
    <w:p>
      <w:pPr>
        <w:ind w:left="980" w:hanging="386"/>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becoming a non-venture issuer in the circumstances described in s. 5.5 of NI 52-109;</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may result in additional risks to the quality, reliability, transparency and timeliness of interim and annual filings and other reports provided under securities legislation.</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 – IPO/RTO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 of Interim Filings Following 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Initial Public Offering, Reverse Takeover or Becoming a Non-Venture Issuer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Chief Financial Officer of Bitfarms Ltd., certify the following:</w:t>
      </w:r>
    </w:p>
    <w:p>
      <w:pPr>
        <w:spacing w:after="0" w:line="225" w:lineRule="exact"/>
        <w:rPr>
          <w:sz w:val="20"/>
          <w:szCs w:val="20"/>
          <w:color w:val="auto"/>
        </w:rPr>
      </w:pPr>
    </w:p>
    <w:p>
      <w:pPr>
        <w:ind w:right="20"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June 30, 2021.</w:t>
      </w:r>
    </w:p>
    <w:p>
      <w:pPr>
        <w:spacing w:after="0" w:line="170"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firstLine="8"/>
        <w:spacing w:after="0" w:line="263" w:lineRule="auto"/>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w:t>
      </w:r>
      <w:r>
        <w:rPr>
          <w:rFonts w:ascii="Arial" w:cs="Arial" w:eastAsia="Arial" w:hAnsi="Arial"/>
          <w:sz w:val="18"/>
          <w:szCs w:val="18"/>
          <w:i w:val="1"/>
          <w:iCs w:val="1"/>
          <w:color w:val="auto"/>
        </w:rPr>
        <w:t>Jeffrey Lucas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Lucas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NOTE TO READER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9947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209"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 xml:space="preserve">In contrast to the usual certificate required for non-venture issuers under National Instrument 52-109 </w:t>
      </w:r>
      <w:r>
        <w:rPr>
          <w:rFonts w:ascii="Arial" w:cs="Arial" w:eastAsia="Arial" w:hAnsi="Arial"/>
          <w:sz w:val="16"/>
          <w:szCs w:val="16"/>
          <w:i w:val="1"/>
          <w:iCs w:val="1"/>
          <w:color w:val="auto"/>
        </w:rPr>
        <w:t>Certification of Disclosure in Issuers’ Annual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Interim Filings </w:t>
      </w:r>
      <w:r>
        <w:rPr>
          <w:rFonts w:ascii="Arial" w:cs="Arial" w:eastAsia="Arial" w:hAnsi="Arial"/>
          <w:sz w:val="16"/>
          <w:szCs w:val="16"/>
          <w:color w:val="auto"/>
        </w:rPr>
        <w:t>(NI 52-109), namely, Form 52-109F2, this Form 52-109F2 – IPO/RTO does not include representations relating to the establishment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of disclosure controls and procedures (DC&amp;P) and internal control over financial reporting (ICFR), as defined in NI 52-109. In particular, the certifying officers filing this certificate are not making any representations relating to the establishment and maintenance of:</w:t>
      </w:r>
    </w:p>
    <w:p>
      <w:pPr>
        <w:spacing w:after="0" w:line="157" w:lineRule="exact"/>
        <w:rPr>
          <w:sz w:val="20"/>
          <w:szCs w:val="20"/>
          <w:color w:val="auto"/>
        </w:rPr>
      </w:pPr>
    </w:p>
    <w:p>
      <w:pPr>
        <w:jc w:val="both"/>
        <w:ind w:left="760" w:right="120" w:firstLine="7"/>
        <w:spacing w:after="0" w:line="263" w:lineRule="auto"/>
        <w:tabs>
          <w:tab w:leader="none" w:pos="9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controls and other procedures designed to provide reasonable assurance that information required to be disclosed by the issuer in its annual filings, interim filings or other reports filed or submitted under securities legislation is recorded, processed, summarized and reported within the time periods specified in securities legislation; and</w:t>
      </w:r>
    </w:p>
    <w:p>
      <w:pPr>
        <w:spacing w:after="0" w:line="183" w:lineRule="exact"/>
        <w:rPr>
          <w:rFonts w:ascii="Arial" w:cs="Arial" w:eastAsia="Arial" w:hAnsi="Arial"/>
          <w:sz w:val="18"/>
          <w:szCs w:val="18"/>
          <w:color w:val="auto"/>
        </w:rPr>
      </w:pPr>
    </w:p>
    <w:p>
      <w:pPr>
        <w:ind w:left="760" w:right="120" w:firstLine="7"/>
        <w:spacing w:after="0" w:line="277" w:lineRule="auto"/>
        <w:tabs>
          <w:tab w:leader="none" w:pos="9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process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issuer’s certifying officers are responsible for ensuring that processes are in place to provide them with sufficient knowledge to support the representations they are making in this certificate.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Investors should be aware that inherent limitations on the ability of certifying officers of an issuer to design and implement on a cost effective basis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DC&amp;P and ICFR as defined in NI 52-109 in the first financial period following:</w:t>
      </w:r>
    </w:p>
    <w:p>
      <w:pPr>
        <w:spacing w:after="0" w:line="211" w:lineRule="exact"/>
        <w:rPr>
          <w:sz w:val="20"/>
          <w:szCs w:val="20"/>
          <w:color w:val="auto"/>
        </w:rPr>
      </w:pPr>
    </w:p>
    <w:p>
      <w:pPr>
        <w:ind w:left="980" w:hanging="3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completion of the issuer’s initial public offering in the circumstances described in s. 5.3 of NI 52-109;</w:t>
      </w:r>
    </w:p>
    <w:p>
      <w:pPr>
        <w:spacing w:after="0" w:line="225" w:lineRule="exact"/>
        <w:rPr>
          <w:rFonts w:ascii="Arial" w:cs="Arial" w:eastAsia="Arial" w:hAnsi="Arial"/>
          <w:sz w:val="18"/>
          <w:szCs w:val="18"/>
          <w:color w:val="auto"/>
        </w:rPr>
      </w:pPr>
    </w:p>
    <w:p>
      <w:pPr>
        <w:ind w:left="980" w:hanging="3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completion of a reverse takeover in the circumstances described in s. 5.4 of NI 52-109; or</w:t>
      </w:r>
    </w:p>
    <w:p>
      <w:pPr>
        <w:spacing w:after="0" w:line="225" w:lineRule="exact"/>
        <w:rPr>
          <w:rFonts w:ascii="Arial" w:cs="Arial" w:eastAsia="Arial" w:hAnsi="Arial"/>
          <w:sz w:val="18"/>
          <w:szCs w:val="18"/>
          <w:color w:val="auto"/>
        </w:rPr>
      </w:pPr>
    </w:p>
    <w:p>
      <w:pPr>
        <w:ind w:left="980" w:hanging="386"/>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issuer becoming a non-venture issuer in the circumstances described in s. 5.5 of NI 52-109;</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may result in additional risks to the quality, reliability, transparency and timeliness of interim and annual filings and other reports provided under securities legislation.</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lowerLetter"/>
      <w:start w:val="1"/>
    </w:lvl>
  </w:abstractNum>
  <w:abstractNum w:abstractNumId="1">
    <w:nsid w:val="2D1D5AE9"/>
    <w:multiLevelType w:val="hybridMultilevel"/>
    <w:lvl w:ilvl="0">
      <w:lvlJc w:val="left"/>
      <w:lvlText w:val="%1."/>
      <w:numFmt w:val="lowerLetter"/>
      <w:start w:val="4"/>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2"/>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2"/>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2"/>
    </w:lvl>
  </w:abstractNum>
  <w:abstractNum w:abstractNumId="12">
    <w:nsid w:val="836C40E"/>
    <w:multiLevelType w:val="hybridMultilevel"/>
    <w:lvl w:ilvl="0">
      <w:lvlJc w:val="left"/>
      <w:lvlText w:val="%1."/>
      <w:numFmt w:val="lowerLetter"/>
      <w:start w:val="3"/>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Letter"/>
      <w:start w:val="2"/>
    </w:lvl>
    <w:lvl w:ilvl="1">
      <w:lvlJc w:val="left"/>
      <w:lvlText w:val="%2."/>
      <w:numFmt w:val="decimal"/>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2"/>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bullet"/>
      <w:start w:val="1"/>
    </w:lvl>
  </w:abstractNum>
  <w:abstractNum w:abstractNumId="22">
    <w:nsid w:val="3006C83E"/>
    <w:multiLevelType w:val="hybridMultilevel"/>
    <w:lvl w:ilvl="0">
      <w:lvlJc w:val="left"/>
      <w:lvlText w:val="2"/>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bullet"/>
      <w:start w:val="1"/>
    </w:lvl>
  </w:abstractNum>
  <w:abstractNum w:abstractNumId="25">
    <w:nsid w:val="5577F8E1"/>
    <w:multiLevelType w:val="hybridMultilevel"/>
    <w:lvl w:ilvl="0">
      <w:lvlJc w:val="left"/>
      <w:lvlText w:val="2"/>
      <w:numFmt w:val="bullet"/>
      <w:start w:val="1"/>
    </w:lvl>
  </w:abstractNum>
  <w:abstractNum w:abstractNumId="26">
    <w:nsid w:val="440BADFC"/>
    <w:multiLevelType w:val="hybridMultilevel"/>
    <w:lvl w:ilvl="0">
      <w:lvlJc w:val="left"/>
      <w:lvlText w:val="3"/>
      <w:numFmt w:val="bullet"/>
      <w:start w:val="1"/>
    </w:lvl>
  </w:abstractNum>
  <w:abstractNum w:abstractNumId="27">
    <w:nsid w:val="5072367"/>
    <w:multiLevelType w:val="hybridMultilevel"/>
    <w:lvl w:ilvl="0">
      <w:lvlJc w:val="left"/>
      <w:lvlText w:val="1"/>
      <w:numFmt w:val="bullet"/>
      <w:start w:val="1"/>
    </w:lvl>
  </w:abstractNum>
  <w:abstractNum w:abstractNumId="28">
    <w:nsid w:val="3804823E"/>
    <w:multiLevelType w:val="hybridMultilevel"/>
    <w:lvl w:ilvl="0">
      <w:lvlJc w:val="left"/>
      <w:lvlText w:val="2"/>
      <w:numFmt w:val="bullet"/>
      <w:start w:val="1"/>
    </w:lvl>
  </w:abstractNum>
  <w:abstractNum w:abstractNumId="29">
    <w:nsid w:val="77465F01"/>
    <w:multiLevelType w:val="hybridMultilevel"/>
    <w:lvl w:ilvl="0">
      <w:lvlJc w:val="left"/>
      <w:lvlText w:val="3"/>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lvl w:ilvl="1">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Roman"/>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lowerRoman"/>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2021-08-16T16:13:10Z</dcterms:created>
  <dcterms:modified xsi:type="dcterms:W3CDTF">2021-08-16T16:13:10Z</dcterms:modified>
</cp:coreProperties>
</file>