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483235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141605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165100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 13a-16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March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165735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156845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BITFARMS LTD.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141605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110 Yonge Street, Suite 1601, Toronto, Ontario, Canada M5C 1T4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151765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46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223520</wp:posOffset>
            </wp:positionV>
            <wp:extent cx="71323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248920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-95885</wp:posOffset>
            </wp:positionH>
            <wp:positionV relativeFrom="paragraph">
              <wp:posOffset>403225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979"/>
          </w:cols>
          <w:pgMar w:left="480" w:top="1078" w:right="1440" w:bottom="1440" w:gutter="0" w:footer="0" w:header="0"/>
        </w:sectPr>
      </w:pPr>
    </w:p>
    <w:bookmarkStart w:id="1" w:name="page2"/>
    <w:bookmarkEnd w:id="1"/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1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By: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Rachel Silverstein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4505325</wp:posOffset>
            </wp:positionH>
            <wp:positionV relativeFrom="paragraph">
              <wp:posOffset>18415</wp:posOffset>
            </wp:positionV>
            <wp:extent cx="2631440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 Rachel Silverstein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100"/>
        <w:spacing w:after="0"/>
        <w:tabs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General Counsel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March 17,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368935</wp:posOffset>
            </wp:positionV>
            <wp:extent cx="713232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420"/>
          </w:cols>
          <w:pgMar w:left="320" w:top="846" w:right="115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 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Exhibits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Exhibit No.</w:t>
            </w:r>
          </w:p>
        </w:tc>
        <w:tc>
          <w:tcPr>
            <w:tcW w:w="9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216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360" w:type="dxa"/>
            <w:vAlign w:val="bottom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99.1</w:t>
            </w:r>
          </w:p>
        </w:tc>
        <w:tc>
          <w:tcPr>
            <w:tcW w:w="9880" w:type="dxa"/>
            <w:vAlign w:val="bottom"/>
            <w:gridSpan w:val="2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Press Release dated March 17, 2026.</w:t>
            </w:r>
          </w:p>
        </w:tc>
      </w:tr>
      <w:tr>
        <w:trPr>
          <w:trHeight w:val="331"/>
        </w:trPr>
        <w:tc>
          <w:tcPr>
            <w:tcW w:w="136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792" w:right="3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2396490</wp:posOffset>
            </wp:positionH>
            <wp:positionV relativeFrom="paragraph">
              <wp:posOffset>167640</wp:posOffset>
            </wp:positionV>
            <wp:extent cx="2348865" cy="3943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39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Schedules Fourth Quarter 2025 Conference Call on March 31, 2026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20" w:hanging="8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Toronto, Ontario and New York, New York (March 17, 2026)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- Bitfarms Ltd. (NASDAQ/TSX: BITF) (“Bitfarms” or the “Company”), a North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American digital infrastructure and energy company, will report its fourth quarter 2025 financial results on Tuesday, March 31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perscript"/>
        </w:rPr>
        <w:t>st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before the market opens. Management will host a conference call on the same day at 8:00 am EST. All Q4 2025 materials will be available before the call and can be accessed on the ‘Financial Results’ section of the Bitfarms investor site.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20" w:right="100" w:hanging="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live webcast and a webcast replay of the conference call can be accessed here. To access the call by telephone, register here to receive dial-in numbers and a unique PIN to join the call.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About Bitfarms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-116840</wp:posOffset>
            </wp:positionV>
            <wp:extent cx="7132320" cy="2743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20" w:right="20" w:hanging="9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Bitfarms is a North American digital infrastructure and energy company that develops and owns data centers and energy infrastructure for high-performance computing workloads, including artificial intelligence.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-296545</wp:posOffset>
            </wp:positionV>
            <wp:extent cx="7123430" cy="123444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430" cy="1234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20" w:hanging="9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Bitfarms’ 2.1 GW North American energy portfolio is comprised of energized, under development, and pipeline MW, located in established data center clusters, with robust access to power and fiber infrastructure.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Bitfarms is headquartered in New York, NY and Toronto, ON and traded on the Nasdaq and the Toronto Stock Exchange.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learn more about Bitfarms’ events, developments, and online communities: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www.bitfarms.com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https://x.com/Bitfarms_io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https://www.linkedin.com/company/bitfarms/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6"/>
        </w:trPr>
        <w:tc>
          <w:tcPr>
            <w:tcW w:w="332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shd w:val="clear" w:color="auto" w:fill="FEFEF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8"/>
        </w:trPr>
        <w:tc>
          <w:tcPr>
            <w:tcW w:w="332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Investor Relations Contact:</w:t>
            </w:r>
          </w:p>
        </w:tc>
        <w:tc>
          <w:tcPr>
            <w:tcW w:w="7920" w:type="dxa"/>
            <w:vAlign w:val="bottom"/>
          </w:tcPr>
          <w:p>
            <w:pPr>
              <w:ind w:left="11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Media Contact:</w:t>
            </w:r>
          </w:p>
        </w:tc>
      </w:tr>
      <w:tr>
        <w:trPr>
          <w:trHeight w:val="21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Laine Yonker</w:t>
            </w:r>
          </w:p>
        </w:tc>
        <w:tc>
          <w:tcPr>
            <w:tcW w:w="792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Tara Goldstein</w:t>
            </w:r>
          </w:p>
        </w:tc>
      </w:tr>
      <w:tr>
        <w:trPr>
          <w:trHeight w:val="234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investors@bitfarms.com</w:t>
            </w:r>
          </w:p>
        </w:tc>
        <w:tc>
          <w:tcPr>
            <w:tcW w:w="792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media@bitfarms.com</w:t>
            </w:r>
          </w:p>
        </w:tc>
      </w:tr>
      <w:tr>
        <w:trPr>
          <w:trHeight w:val="216"/>
        </w:trPr>
        <w:tc>
          <w:tcPr>
            <w:tcW w:w="33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9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35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2026-03-17T16:09:38Z</dcterms:created>
  <dcterms:modified xsi:type="dcterms:W3CDTF">2026-03-17T16:09:38Z</dcterms:modified>
</cp:coreProperties>
</file>