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May 14,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May 14, 2025</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press release attached as Schedule “A” was released on May 14, 2025 by a newswire company in Canada and filed under the Company’s profile on SEDAR+.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154305</wp:posOffset>
            </wp:positionV>
            <wp:extent cx="367728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6772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Reports First Quarter 2025 Results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Revenue of $67 million, up 33% Y/Y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Gross mining margin of 43%, down from 63% from Q1 2024 -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Total energy pipeline of ~1.4 GW, ~80% based in the U.S. -</w:t>
      </w:r>
    </w:p>
    <w:p>
      <w:pPr>
        <w:spacing w:after="0" w:line="9" w:lineRule="exact"/>
        <w:rPr>
          <w:sz w:val="20"/>
          <w:szCs w:val="20"/>
          <w:color w:val="auto"/>
        </w:rPr>
      </w:pPr>
    </w:p>
    <w:p>
      <w:pPr>
        <w:jc w:val="center"/>
        <w:ind w:left="340" w:right="20"/>
        <w:spacing w:after="0" w:line="260" w:lineRule="auto"/>
        <w:rPr>
          <w:sz w:val="20"/>
          <w:szCs w:val="20"/>
          <w:color w:val="auto"/>
        </w:rPr>
      </w:pPr>
      <w:r>
        <w:rPr>
          <w:rFonts w:ascii="Times New Roman" w:cs="Times New Roman" w:eastAsia="Times New Roman" w:hAnsi="Times New Roman"/>
          <w:sz w:val="18"/>
          <w:szCs w:val="18"/>
          <w:color w:val="auto"/>
        </w:rPr>
        <w:t>-Private debt facility announced in April 2025 with division of Macquarie Group for up to $300 million to fund initial HPC project development at Panther Creek, validating the attractiveness of Bitfarms’ potential HPC data center development pipeline -</w:t>
      </w:r>
    </w:p>
    <w:p>
      <w:pPr>
        <w:spacing w:after="0" w:line="17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(May 14, 2025) </w:t>
      </w:r>
      <w:r>
        <w:rPr>
          <w:rFonts w:ascii="Times New Roman" w:cs="Times New Roman" w:eastAsia="Times New Roman" w:hAnsi="Times New Roman"/>
          <w:sz w:val="18"/>
          <w:szCs w:val="18"/>
          <w:color w:val="auto"/>
        </w:rPr>
        <w:t>- Bitfarms Ltd. (Nasdaq/TSX: BITF), a global vertically integrated Bitcoin data center company,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first quarter ended March 31, 2025. All financial references are in U.S. dollars.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CEO Ben Gagnon stated, “During the quarter, we executed across several key areas in our strategic pivot to the U.S. and HPC. First, we completely transformed our energy portfolio with the strategic and profitable disposition of one of our Paraguayan Bitcoin mining campus, Yguazu, and the strategic acquisition of two large power campuses in Pennsylvania with the Stronghold acquisition. This materially reduced capex spending on Bitcoin mining and secured two high potential flagship campuses for HPC while further bolstering our liquidity position. Second, we strengthened our management team with two internal HPC/Infrastructure hires and two world-class external HPC/AI partners who are laser focused on developing and scaling our North American HPC/AI business. Lastly, we continued to make strides with our core Bitcoin mining business, growing our EHuM over 50% in the quarter and achieving our efficiency target of 19 w/TH ahead of schedule. The mining business now provides a stable, low-capex and free cash flow foundation for the Company that positions us very well to grow and develop our U.S. assets into HPC/AI data centers while still capitalizing on any potential Bitcoin upside in 2025 and 2026.</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continued this momentum into Q2, having already secured an attractive financing facility for up to $300 million with a division of Macquarie Group, one of the world’s largest and most reputable infrastructure investors, to fund HPC data center development at our Panther Creek campus. Panther Creek has the scale, location, power availability, and fiber connectivity that is attracting notable HPC counterparties. This campus also has the quickest energization timeline of our three PA sites, and extensive work is underway on the Site Map Plans, development timelines, budgets and other key initiatives needed in order to begin construction.”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t>CFO Jeff Lucas stated, “We are excited to have joined forces with Macquarie to finance our HPC business cost-effectively and with much less dilution than equity funding, creating long-term value for shareholders. In addition to funding the initial phase of our buildout of Panther Creek, their expertise and vast experience in HPC infrastructure financing will be integral as we look to further scale our project and expand to other sites within our portfolio. With strong and steady mining economics, no plans for additional large miner purchases, minimal impact expected from potential tariffs, and near-term capital expenditures funded or with financing in place, we are confident that our strong financial position will enable us to efficiently and cost-effectively grow our HPC business in the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Operations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hashrate of 19.5 EHuM, up 200% from 6.5 EHuM as of March 31,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efficiency of 19 w/TH, an improvement of 44% from 34 w/TH as of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Developments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acquisition of Stronghold Digital Mining,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sale of 200 MW data center in Yguazu, Paraguay to HIVE Digital Technologies Ltd.</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private debt facility with a division of Macquarie Group for up to $300 million to fund initial HPC project development at Panther Creek, validating the attractiveness of Bitfarms’ HPC data center potential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management team with two new strategic hires, James Bond, SVP of HPC/AI, and Craig Hibbard, SVP of Infrastructure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feasibility assessments for all U.S. sites with two strategic partners, ASG and World Wide Technology, advancing HPC/AI business</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Initiated Bitcoin One program following the success of Synthetic HODL</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program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Financial Highlights</w:t>
      </w:r>
    </w:p>
    <w:p>
      <w:pPr>
        <w:spacing w:after="0" w:line="22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$67 million, up 33%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margin of 43%, down from 63% in Q1 2024</w:t>
      </w:r>
    </w:p>
    <w:p>
      <w:pPr>
        <w:spacing w:after="0" w:line="252"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$20 million, inclusive of $2 million in non-recurring expenses related to closing transactions with Stronghold and Hive, compared to $13 million in Q1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$32 million compared to an operating loss of $24 million in Q1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$36 million, or $0.07 per basic and diluted share compared to a net loss of $6 million or $0.02 per basic and diluted share in Q1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$16 million, or 23% of revenue, down from $23 million or 46% of revenue in Q1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693 BTC at an average direct cost of production per BTC* of $47,800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 of production per BTC* was $72,300 in Q1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13, 2025, the Company had total liquidity of approximately $150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and Recent Financing Activities</w:t>
      </w:r>
    </w:p>
    <w:p>
      <w:pPr>
        <w:spacing w:after="0" w:line="229" w:lineRule="exact"/>
        <w:rPr>
          <w:sz w:val="20"/>
          <w:szCs w:val="20"/>
          <w:color w:val="auto"/>
        </w:rPr>
      </w:pPr>
    </w:p>
    <w:p>
      <w:pPr>
        <w:ind w:left="660" w:right="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428 BTC at an average price of $87,100 for total proceeds of $37 million in Q1 2025. Earned 268 BTC and sold 350 BTC during April 2025, generating total proceeds of $30 million. A portion of the funds was used to pay capital expenditures to support the Company’s growth and efficiency improvement objectives and to supplement our Bitcoin One market operations program.</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13, 2025, the Company held 1,166 BTC.</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$24 million in net proceeds during January 2025 under the Company’s 2024 at-the-market equity offering program (“ATM”). During the period from January 24, 2025 through May 13, 2025, the Company issued zero shares through the ATM.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Q1 2025</w:t>
            </w: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Q4 2024</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Q1 2024</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through hosting revenue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r>
      <w:tr>
        <w:trPr>
          <w:trHeight w:val="410"/>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29"/>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45"/>
        </w:trPr>
        <w:tc>
          <w:tcPr>
            <w:tcW w:w="46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432"/>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Q1 2024</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60,800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27,900</w:t>
            </w:r>
          </w:p>
        </w:tc>
      </w:tr>
    </w:tbl>
    <w:p>
      <w:pPr>
        <w:spacing w:after="0" w:line="196" w:lineRule="exact"/>
        <w:rPr>
          <w:sz w:val="20"/>
          <w:szCs w:val="20"/>
          <w:color w:val="auto"/>
        </w:rPr>
      </w:pPr>
    </w:p>
    <w:p>
      <w:pPr>
        <w:ind w:left="660" w:right="400" w:hanging="652"/>
        <w:spacing w:after="0" w:line="261"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80"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unrestricted digital assets.</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 the energy consumption of miners.</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 and Hosting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All Q1 2025 materials will be available before the call and can be accessed on the ’Financial Results’ section of the Bitfarms investor site.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Founded in 2017, Bitfarms is a North American energy and compute infrastructure company that develops, owns, and operates vertically integrated data centers. Bitfarms currently has 15 operating Bitcoin data centers situated in four countries: the United States, Canada, Argentina and Paraguay.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EHuM = Exahash Under Management, which includes Bitfarms’ proprietary hashrate and hashrate being hosted by Bitfarms for third-party hosting clients</w:t>
      </w:r>
    </w:p>
    <w:p>
      <w:pPr>
        <w:spacing w:after="0" w:line="18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Q/Q = Quarter over Quarter</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 Year over 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the potential to deploy the proceeds of the Macquarie Group financing facility at the Panther Creek location, the merits and ability to secure long-term contracts associated with HPC/AI customers, the success of the Company’s HPC/AI strategy in general and its ability to capitalize on growing demand for AI computing while securing predictable cash flows and revenue diversification, the ability to enhance the business of the Company through adding additional human resources and consulting groups to HPC/AI strategies, the benefits of a second principal office in the U.S., the Company’s energy pipeline and its anticipated megawatt growth, the Company’s ability to drive greater shareholder value, projected growth, target hashrate, and other statements regarding future growth, plans and objectives of the Company are forward-looking information.</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months ended March 31,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474"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620" w:type="dxa"/>
            <w:vAlign w:val="bottom"/>
            <w:gridSpan w:val="7"/>
          </w:tcPr>
          <w:p>
            <w:pPr>
              <w:ind w:left="3300"/>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66,848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(67,390)</w:t>
            </w:r>
          </w:p>
        </w:tc>
        <w:tc>
          <w:tcPr>
            <w:tcW w:w="14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(60,999)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(20,173)</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(13,196)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(6,977)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disposition of property, plant and equipment and deposits</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5,586</w:t>
            </w:r>
          </w:p>
        </w:tc>
        <w:tc>
          <w:tcPr>
            <w:tcW w:w="14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170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5,416</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(17,230)</w:t>
            </w:r>
          </w:p>
        </w:tc>
        <w:tc>
          <w:tcPr>
            <w:tcW w:w="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(17,230)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(32,359)</w:t>
            </w:r>
          </w:p>
        </w:tc>
        <w:tc>
          <w:tcPr>
            <w:tcW w:w="2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(23,708)</w:t>
            </w:r>
          </w:p>
        </w:tc>
        <w:tc>
          <w:tcPr>
            <w:tcW w:w="3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(8,651)</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7"/>
        </w:trPr>
        <w:tc>
          <w:tcPr>
            <w:tcW w:w="57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4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2,110</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11,443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(9,333)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(30,249</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(12,265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(5,626)</w:t>
            </w:r>
          </w:p>
        </w:tc>
        <w:tc>
          <w:tcPr>
            <w:tcW w:w="14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6,285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5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(35,875</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(in U.S. dollars)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(0.07)</w:t>
            </w:r>
          </w:p>
        </w:tc>
        <w:tc>
          <w:tcPr>
            <w:tcW w:w="14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(0.02)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(13,421</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17,433</w:t>
            </w:r>
          </w:p>
        </w:tc>
        <w:tc>
          <w:tcPr>
            <w:tcW w:w="3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(49,296</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28,043</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31,340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(3,297)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5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43%</w:t>
            </w:r>
          </w:p>
        </w:tc>
        <w:tc>
          <w:tcPr>
            <w:tcW w:w="14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15,086</w:t>
            </w:r>
          </w:p>
        </w:tc>
        <w:tc>
          <w:tcPr>
            <w:tcW w:w="14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23,324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(8,238)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7"/>
        </w:trPr>
        <w:tc>
          <w:tcPr>
            <w:tcW w:w="57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23%</w:t>
            </w:r>
          </w:p>
        </w:tc>
        <w:tc>
          <w:tcPr>
            <w:tcW w:w="14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180" w:hanging="332"/>
        <w:spacing w:after="0" w:line="196"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MD&amp;A.</w:t>
      </w:r>
    </w:p>
    <w:p>
      <w:pPr>
        <w:spacing w:after="0" w:line="199" w:lineRule="exact"/>
        <w:rPr>
          <w:sz w:val="20"/>
          <w:szCs w:val="20"/>
          <w:color w:val="auto"/>
        </w:rPr>
      </w:pPr>
    </w:p>
    <w:p>
      <w:pPr>
        <w:ind w:left="340" w:right="16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 of the Company’s MD&amp;A.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9940" w:type="dxa"/>
            <w:vAlign w:val="bottom"/>
            <w:gridSpan w:val="9"/>
          </w:tcPr>
          <w:p>
            <w:pPr>
              <w:ind w:left="182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 Adjusted EBITDA</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1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66,848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(12,265)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w:t>
            </w:r>
          </w:p>
        </w:tc>
        <w:tc>
          <w:tcPr>
            <w:tcW w:w="2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260" w:type="dxa"/>
            <w:vAlign w:val="bottom"/>
            <w:vMerge w:val="continue"/>
          </w:tcPr>
          <w:p>
            <w:pPr>
              <w:spacing w:after="0"/>
              <w:rPr>
                <w:sz w:val="17"/>
                <w:szCs w:val="17"/>
                <w:color w:val="auto"/>
              </w:rPr>
            </w:pPr>
          </w:p>
        </w:tc>
        <w:tc>
          <w:tcPr>
            <w:tcW w:w="134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(861)</w:t>
            </w:r>
          </w:p>
        </w:tc>
        <w:tc>
          <w:tcPr>
            <w:tcW w:w="2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26,410</w:t>
            </w:r>
          </w:p>
        </w:tc>
        <w:tc>
          <w:tcPr>
            <w:tcW w:w="26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(27,271)</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4,437</w:t>
            </w:r>
          </w:p>
        </w:tc>
        <w:tc>
          <w:tcPr>
            <w:tcW w:w="2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3,094</w:t>
            </w:r>
          </w:p>
        </w:tc>
        <w:tc>
          <w:tcPr>
            <w:tcW w:w="26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1,343</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revaluation of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(5,618)</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(9,040)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(391)</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settlement of Refundable Hosting Deposits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(945)</w:t>
            </w:r>
          </w:p>
        </w:tc>
        <w:tc>
          <w:tcPr>
            <w:tcW w:w="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not associated with ongoing operations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1,671</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5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 infrastructure and G&amp;A expenses</w:t>
            </w: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2,387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 and other</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(437)</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15,086</w:t>
            </w:r>
          </w:p>
        </w:tc>
        <w:tc>
          <w:tcPr>
            <w:tcW w:w="2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23,324</w:t>
            </w:r>
          </w:p>
        </w:tc>
        <w:tc>
          <w:tcPr>
            <w:tcW w:w="26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(8,238)</w:t>
            </w:r>
          </w:p>
        </w:tc>
        <w:tc>
          <w:tcPr>
            <w:tcW w:w="220" w:type="dxa"/>
            <w:vAlign w:val="bottom"/>
            <w:vMerge w:val="continue"/>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10"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 refer to Note 29b - Additional Details to the Statement of Profit or Loss and Comprehensive Profit or Loss (Canadian sales tax refund) to the 2024 Annual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00" w:type="dxa"/>
            <w:vAlign w:val="bottom"/>
            <w:gridSpan w:val="10"/>
          </w:tcPr>
          <w:p>
            <w:pPr>
              <w:ind w:left="2720"/>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and Gross Mining Margin</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left w:val="single" w:sz="8" w:color="CCEEFF"/>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left w:val="single" w:sz="8" w:color="CCEEFF"/>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Non-Mining revenues¹</w:t>
            </w: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(1,091)</w:t>
            </w:r>
          </w:p>
        </w:tc>
        <w:tc>
          <w:tcPr>
            <w:tcW w:w="1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Borders>
              <w:left w:val="single" w:sz="8" w:color="CCEEFF"/>
            </w:tcBorders>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38,977</w:t>
            </w:r>
          </w:p>
        </w:tc>
        <w:tc>
          <w:tcPr>
            <w:tcW w:w="160" w:type="dxa"/>
            <w:vAlign w:val="bottom"/>
            <w:shd w:val="clear" w:color="auto" w:fill="CCEEFF"/>
          </w:tcPr>
          <w:p>
            <w:pPr>
              <w:spacing w:after="0"/>
              <w:rPr>
                <w:sz w:val="18"/>
                <w:szCs w:val="18"/>
                <w:color w:val="auto"/>
              </w:rPr>
            </w:pPr>
          </w:p>
        </w:tc>
        <w:tc>
          <w:tcPr>
            <w:tcW w:w="132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(9,284)</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2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877</w:t>
            </w:r>
          </w:p>
        </w:tc>
        <w:tc>
          <w:tcPr>
            <w:tcW w:w="120" w:type="dxa"/>
            <w:vAlign w:val="bottom"/>
          </w:tcPr>
          <w:p>
            <w:pPr>
              <w:spacing w:after="0"/>
              <w:rPr>
                <w:sz w:val="18"/>
                <w:szCs w:val="18"/>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prior years - energy and infrastructure²</w:t>
            </w:r>
          </w:p>
        </w:tc>
        <w:tc>
          <w:tcPr>
            <w:tcW w:w="160" w:type="dxa"/>
            <w:vAlign w:val="bottom"/>
            <w:tcBorders>
              <w:left w:val="single" w:sz="8" w:color="CCEEFF"/>
            </w:tcBorders>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132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19"/>
                <w:szCs w:val="19"/>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60" w:type="dxa"/>
            <w:vAlign w:val="bottom"/>
            <w:tcBorders>
              <w:lef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160" w:type="dxa"/>
            <w:vAlign w:val="bottom"/>
            <w:tcBorders>
              <w:left w:val="single" w:sz="8" w:color="auto"/>
              <w:right w:val="single" w:sz="8" w:color="CCEEFF"/>
            </w:tcBorders>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160" w:type="dxa"/>
            <w:vAlign w:val="bottom"/>
            <w:tcBorders>
              <w:left w:val="single" w:sz="8" w:color="auto"/>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vMerge w:val="continue"/>
            <w:shd w:val="clear" w:color="auto" w:fill="CCEEFF"/>
          </w:tcPr>
          <w:p>
            <w:pPr>
              <w:spacing w:after="0"/>
              <w:rPr>
                <w:sz w:val="18"/>
                <w:szCs w:val="18"/>
                <w:color w:val="auto"/>
              </w:rPr>
            </w:pPr>
          </w:p>
        </w:tc>
        <w:tc>
          <w:tcPr>
            <w:tcW w:w="11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28,043</w:t>
            </w:r>
          </w:p>
        </w:tc>
        <w:tc>
          <w:tcPr>
            <w:tcW w:w="18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31,340</w:t>
            </w:r>
          </w:p>
        </w:tc>
        <w:tc>
          <w:tcPr>
            <w:tcW w:w="1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60" w:type="dxa"/>
            <w:vAlign w:val="bottom"/>
            <w:vMerge w:val="continue"/>
            <w:shd w:val="clear" w:color="auto" w:fill="CCEEFF"/>
          </w:tcPr>
          <w:p>
            <w:pPr>
              <w:spacing w:after="0"/>
              <w:rPr>
                <w:sz w:val="18"/>
                <w:szCs w:val="18"/>
                <w:color w:val="auto"/>
              </w:rPr>
            </w:pP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66,848</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left w:val="single" w:sz="8" w:color="CCEEFF"/>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left w:val="single" w:sz="8" w:color="CCEEFF"/>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71"/>
        </w:trPr>
        <w:tc>
          <w:tcPr>
            <w:tcW w:w="58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Less Mining related revenues for the purpose of calculating gross Mining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revenues³</w:t>
            </w:r>
          </w:p>
        </w:tc>
        <w:tc>
          <w:tcPr>
            <w:tcW w:w="1400" w:type="dxa"/>
            <w:vAlign w:val="bottom"/>
            <w:tcBorders>
              <w:left w:val="single" w:sz="8" w:color="CCEEFF"/>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(64,863)</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(49,423)</w:t>
            </w:r>
          </w:p>
        </w:tc>
        <w:tc>
          <w:tcPr>
            <w:tcW w:w="132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(15,440)</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Non-Mining revenues</w:t>
            </w: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1,985</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894</w:t>
            </w: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1,091</w:t>
            </w: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recovery relating to energy and infrastructure expenses has been allocated to their respective periods; refer to Note 29b - Additional Details to the Statement of Profit or Loss and Comprehensive Profit or Loss (Canadian sales tax refund) to the 2024 Annual Financial Statements.</w:t>
      </w:r>
    </w:p>
    <w:p>
      <w:pPr>
        <w:spacing w:after="0" w:line="16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00" w:type="dxa"/>
            <w:vAlign w:val="bottom"/>
            <w:gridSpan w:val="6"/>
          </w:tcPr>
          <w:p>
            <w:pPr>
              <w:ind w:left="310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67,390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(29,693)</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(38,977)</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9,284</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prior years - energy and infrastructure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33,143</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47,800</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18,400</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29,400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32"/>
        </w:trPr>
        <w:tc>
          <w:tcPr>
            <w:tcW w:w="8600" w:type="dxa"/>
            <w:vAlign w:val="bottom"/>
            <w:gridSpan w:val="6"/>
          </w:tcPr>
          <w:p>
            <w:pPr>
              <w:ind w:left="2960"/>
              <w:spacing w:after="0"/>
              <w:rPr>
                <w:sz w:val="20"/>
                <w:szCs w:val="20"/>
                <w:color w:val="auto"/>
              </w:rPr>
            </w:pPr>
            <w:r>
              <w:rPr>
                <w:rFonts w:ascii="Times New Roman" w:cs="Times New Roman" w:eastAsia="Times New Roman" w:hAnsi="Times New Roman"/>
                <w:sz w:val="18"/>
                <w:szCs w:val="18"/>
                <w:b w:val="1"/>
                <w:bCs w:val="1"/>
                <w:color w:val="auto"/>
              </w:rPr>
              <w:t>Bitfarms Ltd. Calculation of Total Cash Cost and Total Cost per BTC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67,390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87,563</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74,195</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(29,693)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service expense (2)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(4,437)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not associated with ongoing operations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5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 infrastructure and G&amp;A expenses</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50,100</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23,815</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72,300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27,900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44,400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10"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 refer to Note 29b - Additional Details to the Statement of Profit or Loss and Comprehensive Profit or Loss (Canadian sales tax refund) to the 2024 Annual Financial Statements.</w:t>
      </w:r>
    </w:p>
    <w:p>
      <w:pPr>
        <w:spacing w:after="0" w:line="200" w:lineRule="exact"/>
        <w:rPr>
          <w:sz w:val="20"/>
          <w:szCs w:val="20"/>
          <w:color w:val="auto"/>
        </w:rPr>
      </w:pPr>
    </w:p>
    <w:p>
      <w:pPr>
        <w:ind w:left="5540" w:right="3240" w:hanging="5532"/>
        <w:spacing w:after="0" w:line="623" w:lineRule="auto"/>
        <w:tabs>
          <w:tab w:leader="none" w:pos="338"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1"/>
      <w:numFmt w:val="bullet"/>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2025-05-15T05:15:54Z</dcterms:created>
  <dcterms:modified xsi:type="dcterms:W3CDTF">2025-05-15T05:15:54Z</dcterms:modified>
</cp:coreProperties>
</file>