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September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ind w:right="80"/>
        <w:spacing w:after="0" w:line="263" w:lineRule="auto"/>
        <w:rPr>
          <w:sz w:val="20"/>
          <w:szCs w:val="20"/>
          <w:color w:val="auto"/>
        </w:rPr>
      </w:pPr>
      <w:r>
        <w:rPr>
          <w:rFonts w:ascii="Arial" w:cs="Arial" w:eastAsia="Arial" w:hAnsi="Arial"/>
          <w:sz w:val="18"/>
          <w:szCs w:val="18"/>
          <w:color w:val="auto"/>
        </w:rPr>
        <w:t>On September 17,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66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September 17, 2021</w:t>
              </w:r>
            </w:hyperlink>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660" w:type="dxa"/>
            <w:vAlign w:val="bottom"/>
            <w:tcBorders>
              <w:top w:val="single" w:sz="8" w:color="0000EE"/>
              <w:bottom w:val="single" w:sz="8" w:color="auto"/>
            </w:tcBorders>
          </w:tcPr>
          <w:p>
            <w:pPr>
              <w:spacing w:after="0"/>
              <w:rPr>
                <w:sz w:val="24"/>
                <w:szCs w:val="24"/>
                <w:color w:val="auto"/>
              </w:rPr>
            </w:pPr>
          </w:p>
        </w:tc>
        <w:tc>
          <w:tcPr>
            <w:tcW w:w="6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016"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0" cy="17145"/>
                    </a:xfrm>
                    <a:prstGeom prst="rect">
                      <a:avLst/>
                    </a:prstGeom>
                    <a:noFill/>
                  </pic:spPr>
                </pic:pic>
              </a:graphicData>
            </a:graphic>
          </wp:anchor>
        </w:drawing>
      </w:r>
    </w:p>
    <w:p>
      <w:pPr>
        <w:spacing w:after="0" w:line="17"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Name:</w:t>
        <w:tab/>
        <w:t>L. Geoffrey Morphy</w:t>
      </w:r>
    </w:p>
    <w:p>
      <w:pPr>
        <w:spacing w:after="0" w:line="23"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September 17, 2021.</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September 17, 2021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160655</wp:posOffset>
            </wp:positionV>
            <wp:extent cx="2023110"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11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0" w:hanging="10"/>
        <w:spacing w:after="0" w:line="276" w:lineRule="auto"/>
        <w:rPr>
          <w:sz w:val="20"/>
          <w:szCs w:val="20"/>
          <w:color w:val="auto"/>
        </w:rPr>
      </w:pPr>
      <w:r>
        <w:rPr>
          <w:rFonts w:ascii="Arial" w:cs="Arial" w:eastAsia="Arial" w:hAnsi="Arial"/>
          <w:sz w:val="43"/>
          <w:szCs w:val="43"/>
          <w:b w:val="1"/>
          <w:bCs w:val="1"/>
          <w:color w:val="auto"/>
        </w:rPr>
        <w:t>Bitfarms Ltd. Engages LHA for Investor Relations and Advisory Services</w:t>
      </w:r>
    </w:p>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(September 17,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Bitcoin mining company currently powering over 1% of the Bitcoin network with greater than 99% green hydroelectricity, today announces it has retained LHA Investor Relations, a leading IR and strategic advisory firm.</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LHA will focus on expanding market awareness for Bitfarms and conveying the Company's integrated business model and global growth strategies to the institutional and retail investment communities. LHA plans to build greater investor community awareness through enhanced communications, drive investor and sell-side analyst targeting, organize non-deal roadshows, and provide capital markets advisory services.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LHA partners with public and private companies to implement custom-designed, strategic investor relations programs utilizing industry best practices. Founded in 1984 with headquarters in New York and offices in Los Angeles and San Francisco, LHA is comprised of seasoned professionals working in teams serving companies across multiple sectors with market capitalizations ranging up to over $10 billion.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“Recognizing LHA’s veteran presence in capital markets and deep experience with larger, high-growth companies, we believe LHA is a perfect fit for our company as we transition beyond a micro-cap company,” said Bitfarms CEO Emiliano Grodzki.</w:t>
      </w:r>
    </w:p>
    <w:p>
      <w:pPr>
        <w:spacing w:after="0" w:line="13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LHA has been engaged at a rate of US$20,000 per month for an initial term of six months. The engagement may be cancelled after ninety days upon thirty days’ notice. LHA and its directors, officers and employees are arm’s length to Bitfarms and do not have any interest, directly or indirectly, in Bitfarms or its securities, or any right or intent to acquire such an interest. The agreement with LHA is subject to TSX Venture Exchange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0" w:lineRule="exact"/>
        <w:rPr>
          <w:sz w:val="20"/>
          <w:szCs w:val="20"/>
          <w:color w:val="auto"/>
        </w:rPr>
      </w:pP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 play mining company audited by a Big Four audit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investor relation services,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dilution in relation to the Company’s at-the-market offering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i w:val="1"/>
          <w:iCs w:val="1"/>
          <w:color w:val="auto"/>
        </w:rPr>
        <w:t>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Relations julesa@coreir.com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2021-09-17T15:04:56Z</dcterms:created>
  <dcterms:modified xsi:type="dcterms:W3CDTF">2021-09-17T15:04:56Z</dcterms:modified>
</cp:coreProperties>
</file>