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5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497840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23, 2024, the Registrant filed with the Canadian Securities Regulatory Authorities on the System for Electronic Data Analysis and Retrieval</w:t>
      </w:r>
    </w:p>
    <w:p>
      <w:pPr>
        <w:spacing w:after="0" w:line="27" w:lineRule="exact"/>
        <w:rPr>
          <w:sz w:val="20"/>
          <w:szCs w:val="20"/>
          <w:color w:val="auto"/>
        </w:rPr>
      </w:pPr>
    </w:p>
    <w:p>
      <w:pPr>
        <w:ind w:right="20" w:firstLine="8"/>
        <w:spacing w:after="0" w:line="260" w:lineRule="auto"/>
        <w:tabs>
          <w:tab w:leader="none" w:pos="1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(SEDAR +) a material change report that includes a copy of a press release, a copy of which is attached hereto as Exhibit 99.1, which is incorporated by reference into the Registration Statements of Bitfarms Ltd.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333-278868).</w:t>
      </w:r>
    </w:p>
    <w:p>
      <w:pPr>
        <w:spacing w:after="0" w:line="18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43" w:lineRule="exact"/>
        <w:rPr>
          <w:rFonts w:ascii="Times New Roman" w:cs="Times New Roman" w:eastAsia="Times New Roman" w:hAnsi="Times New Roman"/>
          <w:sz w:val="18"/>
          <w:szCs w:val="18"/>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rFonts w:ascii="Times New Roman" w:cs="Times New Roman" w:eastAsia="Times New Roman" w:hAnsi="Times New Roman"/>
          <w:sz w:val="18"/>
          <w:szCs w:val="18"/>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September 23, 2024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4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23,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23,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September 23, 2024 by a newswire company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154305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and Riot Announce Settlement</w:t>
      </w:r>
    </w:p>
    <w:p>
      <w:pPr>
        <w:spacing w:after="0" w:line="229"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color w:val="auto"/>
        </w:rPr>
        <w:t>- Andrés Finkielsztain Steps Down from Board - - Bitfarms Appoints Amy Freedman to Board of Directors - - Board to Nominate an Independent Director for Election at Special Meeting - - Standstill Agreement Through 2026 Annual Meeting -</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jc w:val="both"/>
        <w:ind w:hanging="1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and Castle Rock, Colorado, (September 23, 2024) </w:t>
      </w:r>
      <w:r>
        <w:rPr>
          <w:rFonts w:ascii="Times New Roman" w:cs="Times New Roman" w:eastAsia="Times New Roman" w:hAnsi="Times New Roman"/>
          <w:sz w:val="18"/>
          <w:szCs w:val="18"/>
          <w:color w:val="auto"/>
        </w:rPr>
        <w:t>- Bitfarms Ltd. (NASDAQ/TSX: BITF) (“Bitfarms”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 global leader in vertically integrated Bitcoin data center operations, and Riot Platforms Inc. (NASDAQ: RIOT) (“Riot”), an industry leader in vertically integrated Bitcoin (“BTC”) mining, today announced that Bitfarms and Riot have entered into a settlement agreement (the “Agreement”) in advance of the Special Meeting of Bitfarms Shareholders (the “Special Meeting”) currently scheduled for November 6, 2024, which will now be held virtually.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Agreement:</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Andrés Finkielsztain has stepped down from Bitfarms’ Board of Directors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has appointed Amy Freedman to its Board and the Governance and Nominating Committee and Compensation Committee of the Board, effective immediately.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Riot has agreed to withdraw its June 24, 2024 requisition, as amended, and to accept customary standstill provisions through the Bitfarms 2026 Annual Meeting, with certain exceptions.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shareholders will be asked to approve an expansion of the Board from five members to six members, to elect an independent director nominated by the Board to serve as the sixth member of the Board, and to ratify the Company’s July 24, 2024, shareholder rights plan. Riot has agreed to vote in favour of these matters.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Riot with certain rights (subject to certain exceptions) to purchase shares of the Company provided Riot holds 15% or more of the outstanding common shares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hanging="11"/>
        <w:spacing w:after="0" w:line="282" w:lineRule="auto"/>
        <w:rPr>
          <w:sz w:val="20"/>
          <w:szCs w:val="20"/>
          <w:color w:val="auto"/>
        </w:rPr>
      </w:pPr>
      <w:r>
        <w:rPr>
          <w:rFonts w:ascii="Times New Roman" w:cs="Times New Roman" w:eastAsia="Times New Roman" w:hAnsi="Times New Roman"/>
          <w:sz w:val="18"/>
          <w:szCs w:val="18"/>
          <w:color w:val="auto"/>
        </w:rPr>
        <w:t>As a result of the agreement to nominate an additional director for election at the Special Meeting, the Special Meeting may be delayed, but in no event will it be held later than November 20, 2024. The Company will update its shareholders on the timing of the Special Meeting as soon as it can.</w:t>
      </w:r>
    </w:p>
    <w:p>
      <w:pPr>
        <w:spacing w:after="0" w:line="162" w:lineRule="exact"/>
        <w:rPr>
          <w:sz w:val="20"/>
          <w:szCs w:val="20"/>
          <w:color w:val="auto"/>
        </w:rPr>
      </w:pPr>
    </w:p>
    <w:p>
      <w:pPr>
        <w:jc w:val="both"/>
        <w:ind w:hanging="11"/>
        <w:spacing w:after="0" w:line="261" w:lineRule="auto"/>
        <w:rPr>
          <w:sz w:val="20"/>
          <w:szCs w:val="20"/>
          <w:color w:val="auto"/>
        </w:rPr>
      </w:pPr>
      <w:r>
        <w:rPr>
          <w:rFonts w:ascii="Times New Roman" w:cs="Times New Roman" w:eastAsia="Times New Roman" w:hAnsi="Times New Roman"/>
          <w:sz w:val="18"/>
          <w:szCs w:val="18"/>
          <w:color w:val="auto"/>
        </w:rPr>
        <w:t>Brian Howlett, Independent Chairman of the Board, said “The Bitfarms Board is committed to effectively overseeing the execution of the Company’s strategic plan as we work to position Bitfarms to capitalize on the opportunities ahead. Additionally, we recognize the importance of refreshment and having the right mix of skills, experience and diversity, and we are always open to adding qualified candidates with valuable insights and perspectives to strengthen our Board. We are pleased to reach this agreement with Riot, which we believe is in the best interests of all Bitfarms shareholders.”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Howlett continued, “On behalf of the Board and the entire company, I thank Andrés for his invaluable contributions to Bitfarms over the last four years.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 brought great insights to the boardroom with his extensive knowledge of the financial and crypto industry. We wish him well in his future endeavors.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leveraging Amy’s extensive experience advising public companies as the Board works together to enhance shareholder value.”</w:t>
      </w:r>
    </w:p>
    <w:p>
      <w:pPr>
        <w:spacing w:after="0" w:line="207" w:lineRule="exact"/>
        <w:rPr>
          <w:sz w:val="20"/>
          <w:szCs w:val="20"/>
          <w:color w:val="auto"/>
        </w:rPr>
      </w:pPr>
    </w:p>
    <w:p>
      <w:pPr>
        <w:jc w:val="both"/>
        <w:ind w:hanging="11"/>
        <w:spacing w:after="0" w:line="266" w:lineRule="auto"/>
        <w:rPr>
          <w:sz w:val="20"/>
          <w:szCs w:val="20"/>
          <w:color w:val="auto"/>
        </w:rPr>
      </w:pPr>
      <w:r>
        <w:rPr>
          <w:rFonts w:ascii="Times New Roman" w:cs="Times New Roman" w:eastAsia="Times New Roman" w:hAnsi="Times New Roman"/>
          <w:sz w:val="18"/>
          <w:szCs w:val="18"/>
          <w:color w:val="auto"/>
        </w:rPr>
        <w:t>Ben Gagnon, Chief Executive Officer of Bitfarms, said, “We are pleased to reach this agreement with Riot and look forward to turning our full attention to executing our growth strategy. We remain focused on diversifying the business beyond Bitcoin mining into exciting and synergistic new areas like energy generation, energy trading, heat recycling and other high value revenue streams like HPC/AI.”</w:t>
      </w:r>
    </w:p>
    <w:p>
      <w:pPr>
        <w:spacing w:after="0" w:line="176" w:lineRule="exact"/>
        <w:rPr>
          <w:sz w:val="20"/>
          <w:szCs w:val="20"/>
          <w:color w:val="auto"/>
        </w:rPr>
      </w:pPr>
    </w:p>
    <w:p>
      <w:pPr>
        <w:jc w:val="both"/>
        <w:ind w:hanging="11"/>
        <w:spacing w:after="0" w:line="266" w:lineRule="auto"/>
        <w:rPr>
          <w:sz w:val="20"/>
          <w:szCs w:val="20"/>
          <w:color w:val="auto"/>
        </w:rPr>
      </w:pPr>
      <w:r>
        <w:rPr>
          <w:rFonts w:ascii="Times New Roman" w:cs="Times New Roman" w:eastAsia="Times New Roman" w:hAnsi="Times New Roman"/>
          <w:sz w:val="18"/>
          <w:szCs w:val="18"/>
          <w:color w:val="auto"/>
        </w:rPr>
        <w:t>Jason Les, Chief Executive Officer of Riot, said, “This agreement represents a significant step to advance shareholder value creation at our respective companies and we are pleased to have reached this constructive resolution with Bitfarms. As Bitfarms’ largest shareholder, we look forward to supporting a reconstituted Bitfarms Board and continued engagement with management.”</w:t>
      </w:r>
    </w:p>
    <w:p>
      <w:pPr>
        <w:spacing w:after="0" w:line="176" w:lineRule="exact"/>
        <w:rPr>
          <w:sz w:val="20"/>
          <w:szCs w:val="20"/>
          <w:color w:val="auto"/>
        </w:rPr>
      </w:pPr>
    </w:p>
    <w:p>
      <w:pPr>
        <w:jc w:val="both"/>
        <w:ind w:hanging="11"/>
        <w:spacing w:after="0" w:line="282" w:lineRule="auto"/>
        <w:rPr>
          <w:sz w:val="20"/>
          <w:szCs w:val="20"/>
          <w:color w:val="auto"/>
        </w:rPr>
      </w:pPr>
      <w:r>
        <w:rPr>
          <w:rFonts w:ascii="Times New Roman" w:cs="Times New Roman" w:eastAsia="Times New Roman" w:hAnsi="Times New Roman"/>
          <w:sz w:val="18"/>
          <w:szCs w:val="18"/>
          <w:color w:val="auto"/>
        </w:rPr>
        <w:t>A copy of the Agreement will be filed on Form 6-K with the U.S. Securities and Exchange Commission (“SEC”) and will be posted to the Company’s SEDAR+ profile at www.sedarplus.ca.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Amy Freedman</w:t>
      </w:r>
    </w:p>
    <w:p>
      <w:pPr>
        <w:spacing w:after="0" w:line="229" w:lineRule="exact"/>
        <w:rPr>
          <w:sz w:val="20"/>
          <w:szCs w:val="20"/>
          <w:color w:val="auto"/>
        </w:rPr>
      </w:pPr>
    </w:p>
    <w:p>
      <w:pPr>
        <w:jc w:val="both"/>
        <w:ind w:hanging="11"/>
        <w:spacing w:after="0" w:line="258" w:lineRule="auto"/>
        <w:rPr>
          <w:sz w:val="20"/>
          <w:szCs w:val="20"/>
          <w:color w:val="auto"/>
        </w:rPr>
      </w:pPr>
      <w:r>
        <w:rPr>
          <w:rFonts w:ascii="Times New Roman" w:cs="Times New Roman" w:eastAsia="Times New Roman" w:hAnsi="Times New Roman"/>
          <w:sz w:val="18"/>
          <w:szCs w:val="18"/>
          <w:color w:val="auto"/>
        </w:rPr>
        <w:t>Amy is a corporate governance and public capital markets expert with over 25 years of experience. She is currently an advisor to Ewing Morris and Co. Investment Partners, an alternative asset manager with both equity and credit strategies. In her role, Amy spearheads the fund’s engagement investment opportunities. Previously, she was CEO of Kingsdale Advisors, a leading shareholder services and advisory firm specializing in strategic and defensive advisory, governance advisory, proxy and voting analytics and investor communications. Ms. Freedman has spent over 15 years in capital markets as an investment banker with global firms including Stifel Financial Corp. (NYSE: SF) and Morgan Stanley (NYSE: MS).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Ms. Freedman is currently a director on the boards of Mandalay Resources Corporation (TSX: MND, OTCQB: MNDJF), Irish Residential Properties REIT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plc (ISE: IRES) and American Hotel Income Properties REIT (TSX: HOT.UN, HOT.U). She holds an MBA and a JD from the University of Toronto.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45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r>
    </w:p>
    <w:p>
      <w:pPr>
        <w:spacing w:after="0" w:line="209" w:lineRule="exact"/>
        <w:rPr>
          <w:sz w:val="20"/>
          <w:szCs w:val="20"/>
          <w:color w:val="auto"/>
        </w:rPr>
      </w:pPr>
    </w:p>
    <w:p>
      <w:pPr>
        <w:jc w:val="both"/>
        <w:ind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mining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85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Riot Platforms,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Riot’s (NASDAQ: RIOT) vision is to be the world’s leading Bitcoin-driven infrastructure platform. Our mission is to positively impact the sectors, networks and communities that we touch. We believe that the combination of an innovative spirit and strong community partnership allows Riot to achieve best-in-class execution and create successful outcomes.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Riot, a Nevada corporation, is a Bitcoin mining and digital infrastructure company focused on a vertically integrated strategy. Riot has Bitcoin mining operations in central Texas and electrical switchgear engineering and fabrication operations in Denver, Colorado.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www.riotplatforms.com.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097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strength and positive outcome of board of director renewal, the date of the Special Meeting, the merits and potential of the Company’s growth plan and diversification strategy, other growth opportunities and prospects, statements regarding future growth, plans and objectives of the Company and the maximization of shareholder value,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forward-looking information is based on assumptions and estimates of management of the Company and Riot, as applicable,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various risks relating to the operations and business of the Company, the future performance, liquidity and financial position of the Company and Riot, and uncertainties as to timing of the Special Meeting or the outcome. For further information concerning these and other risks and uncertainties, refer to (i) the Company’s filings on www.sedarplus.ca (which are also available on the website of the SEC at www.sec.gov), including the MD&amp;A for the year-ended December 31, 2023, filed on March 7, 2024 and the MD&amp;A for the three and six months ended June 30, 2024 filed on August 8, 2024, and (ii) Riot’s filings with the SEC,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t>
      </w:r>
      <w:r>
        <w:rPr>
          <w:rFonts w:ascii="Times New Roman" w:cs="Times New Roman" w:eastAsia="Times New Roman" w:hAnsi="Times New Roman"/>
          <w:sz w:val="18"/>
          <w:szCs w:val="18"/>
          <w:color w:val="auto"/>
        </w:rPr>
        <w:t>www.sec.gov</w:t>
      </w:r>
      <w:r>
        <w:rPr>
          <w:rFonts w:ascii="Times New Roman" w:cs="Times New Roman" w:eastAsia="Times New Roman" w:hAnsi="Times New Roman"/>
          <w:sz w:val="18"/>
          <w:szCs w:val="18"/>
          <w:i w:val="1"/>
          <w:iCs w:val="1"/>
          <w:color w:val="auto"/>
        </w:rPr>
        <w:t>. Although the Company and Riot have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5760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57607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Bitfarms: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+1 212-750-5833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Laurel Hill Advisory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Riot: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McPherson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303-794-2000 ext.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IR@Riot.Inc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Bitfarms: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Joele Frank, Wilkinson Brimmer Katcher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Riot: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097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Germani / Dan Zacchei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jgermani@longacresquare.com / dzacchei@longacresquare.com</w:t>
      </w:r>
    </w:p>
    <w:p>
      <w:pPr>
        <w:spacing w:after="0" w:line="200" w:lineRule="exact"/>
        <w:rPr>
          <w:sz w:val="20"/>
          <w:szCs w:val="20"/>
          <w:color w:val="auto"/>
        </w:rPr>
      </w:pPr>
    </w:p>
    <w:p>
      <w:pPr>
        <w:spacing w:after="0" w:line="22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jpe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19" Type="http://schemas.openxmlformats.org/officeDocument/2006/relationships/hyperlink" Target="https://www.sec.gov/Archives/edgar/data/1812477/000121390023052498/ea180981-f10_bitfarmsltd.htm" TargetMode="External"/><Relationship Id="rId20" Type="http://schemas.openxmlformats.org/officeDocument/2006/relationships/hyperlink" Target="https://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2024-09-23T15:46:14Z</dcterms:created>
  <dcterms:modified xsi:type="dcterms:W3CDTF">2024-09-23T15:46:14Z</dcterms:modified>
</cp:coreProperties>
</file>