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4920"/>
        <w:spacing w:after="0"/>
        <w:rPr>
          <w:sz w:val="20"/>
          <w:szCs w:val="20"/>
          <w:color w:val="auto"/>
        </w:rPr>
      </w:pPr>
      <w:r>
        <w:rPr>
          <w:rFonts w:ascii="Arial" w:cs="Arial" w:eastAsia="Arial" w:hAnsi="Arial"/>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For the month of April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BITFARMS LTD.</w:t>
      </w:r>
    </w:p>
    <w:p>
      <w:pPr>
        <w:spacing w:after="0" w:line="38"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99"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On April 3, 2023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9">
        <w:r>
          <w:rPr>
            <w:rFonts w:ascii="Arial" w:cs="Arial" w:eastAsia="Arial" w:hAnsi="Arial"/>
            <w:sz w:val="18"/>
            <w:szCs w:val="18"/>
            <w:u w:val="single" w:color="auto"/>
            <w:color w:val="0000EE"/>
          </w:rPr>
          <w:t>Form F-10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333-258788).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Material Change Report dated April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220"/>
        <w:spacing w:after="0"/>
        <w:tabs>
          <w:tab w:leader="none" w:pos="780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3,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April 3, 2023.</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News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attached as Schedule “A” was released on April 3, 2023, by a newswire company in Canada.</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&amp;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April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Bitfarms Mines 424 BTC in March</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purposes of the Company’s prospectus supplement dated August 16, 2021, to its short form base shelf prospectus dated August 12, 2021.</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Toronto, Ontario and Brossard, Québec (April 3, 2023)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BITF//TSX: BITF</w:t>
      </w:r>
      <w:r>
        <w:rPr>
          <w:rFonts w:ascii="Arial" w:cs="Arial" w:eastAsia="Arial" w:hAnsi="Arial"/>
          <w:sz w:val="18"/>
          <w:szCs w:val="18"/>
          <w:color w:val="auto"/>
        </w:rPr>
        <w:t>), a global Bitcoin self-mining company,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a Bitcoin (BTC) production and mining operations update for March 2023.</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improved our financial position in March 2023, reflecting stable production and an increasing BTC price,” said Geoff Morphy, CEO of Bitfarms. “During the month, we mined 424 BTC, added 30 BTC to treasury, and sold 394 BTC at an average selling price of $24,700 per BTC, in line with improving mining economics and lower debt obligations. Strengthening the Company’s balance sheet and reducing debt further, we ended March with $29 million in cash and equivalents, 435 BTC in custody, $22 million in vendor credits, and just $21 million in total indebtedness.”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Ben Gagnon, Chief Mining Officer of Bitfarms, said, “In March, we increased BTC production 17% year-over-year, even with energy curtailment in Quebec and Paraguay as well as continued network growth. In Q1 2023, BTC price increased by 72%, outpacing network difficultly growth of 32.5%. As a result, industry mining revenue is up 31% dollars per TH in the quarter. Continued rising difficulty levels reflect increasing investment and bullish sentiment in the mining industry overall.”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Mining Review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Energy curtailment in Quebec moderated in March, as warmer weather reduced the load provided back to the local power grids. However, extreme heat in Paraguay resulted in some energy curtailment during mid-March. Cooler temperatures arrived toward month end in the Southern Hemisphere. The table below presents an overview of March 2023 performance metrics as compared to both February 2023 and March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Key Performance Indicators</w:t>
            </w:r>
          </w:p>
        </w:tc>
        <w:tc>
          <w:tcPr>
            <w:tcW w:w="1380" w:type="dxa"/>
            <w:vAlign w:val="bottom"/>
            <w:gridSpan w:val="2"/>
          </w:tcPr>
          <w:p>
            <w:pPr>
              <w:ind w:left="240"/>
              <w:spacing w:after="0"/>
              <w:rPr>
                <w:sz w:val="20"/>
                <w:szCs w:val="20"/>
                <w:color w:val="auto"/>
              </w:rPr>
            </w:pPr>
            <w:r>
              <w:rPr>
                <w:rFonts w:ascii="Arial" w:cs="Arial" w:eastAsia="Arial" w:hAnsi="Arial"/>
                <w:sz w:val="18"/>
                <w:szCs w:val="18"/>
                <w:b w:val="1"/>
                <w:bCs w:val="1"/>
                <w:color w:val="auto"/>
              </w:rPr>
              <w:t>Mar. 2023</w:t>
            </w:r>
          </w:p>
        </w:tc>
        <w:tc>
          <w:tcPr>
            <w:tcW w:w="1320" w:type="dxa"/>
            <w:vAlign w:val="bottom"/>
            <w:gridSpan w:val="2"/>
          </w:tcPr>
          <w:p>
            <w:pPr>
              <w:ind w:left="240"/>
              <w:spacing w:after="0"/>
              <w:rPr>
                <w:sz w:val="20"/>
                <w:szCs w:val="20"/>
                <w:color w:val="auto"/>
              </w:rPr>
            </w:pPr>
            <w:r>
              <w:rPr>
                <w:rFonts w:ascii="Arial" w:cs="Arial" w:eastAsia="Arial" w:hAnsi="Arial"/>
                <w:sz w:val="18"/>
                <w:szCs w:val="18"/>
                <w:b w:val="1"/>
                <w:bCs w:val="1"/>
                <w:color w:val="auto"/>
              </w:rPr>
              <w:t>Feb. 2023</w:t>
            </w: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rPr>
              <w:t>Mar. 2022</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BTC Mined</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424</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387</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Month End Operating EH/s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BTC/ Avg. EH/s</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Operating Capacity (MW)</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121</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Hydropower MW</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Watts/Terahash Efficiency (w/TH)</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BTC Sold</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March 2023 Select Operating Highlights</w:t>
      </w:r>
    </w:p>
    <w:p>
      <w:pPr>
        <w:spacing w:after="0" w:line="256" w:lineRule="exact"/>
        <w:rPr>
          <w:sz w:val="20"/>
          <w:szCs w:val="20"/>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4.8 EH/s online as of March 31, 2023, up 78% from March 31, 2022 and up 2% compared to February 28, 2023.</w:t>
      </w:r>
    </w:p>
    <w:p>
      <w:pPr>
        <w:spacing w:after="0" w:line="23" w:lineRule="exact"/>
        <w:rPr>
          <w:rFonts w:ascii="Arial" w:cs="Arial" w:eastAsia="Arial" w:hAnsi="Arial"/>
          <w:sz w:val="18"/>
          <w:szCs w:val="18"/>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4.6 EH/s average online, compared to 4.3 EH/s in February 2023.</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91.4 BTC/average EH/s, up marginally from 91 in February 2023.</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424 new BTC mined, up 9.6% from March 2022 and up 16.8% from February 2023.</w:t>
      </w:r>
    </w:p>
    <w:p>
      <w:pPr>
        <w:spacing w:after="0" w:line="9" w:lineRule="exact"/>
        <w:rPr>
          <w:rFonts w:ascii="Arial" w:cs="Arial" w:eastAsia="Arial" w:hAnsi="Arial"/>
          <w:sz w:val="18"/>
          <w:szCs w:val="18"/>
          <w:color w:val="auto"/>
        </w:rPr>
      </w:pPr>
    </w:p>
    <w:p>
      <w:pPr>
        <w:ind w:left="640" w:right="20" w:hanging="322"/>
        <w:spacing w:after="0" w:line="180" w:lineRule="auto"/>
        <w:tabs>
          <w:tab w:leader="none" w:pos="640" w:val="left"/>
        </w:tabs>
        <w:numPr>
          <w:ilvl w:val="0"/>
          <w:numId w:val="1"/>
        </w:numPr>
        <w:rPr>
          <w:rFonts w:ascii="Arial" w:cs="Arial" w:eastAsia="Arial" w:hAnsi="Arial"/>
          <w:sz w:val="33"/>
          <w:szCs w:val="33"/>
          <w:color w:val="auto"/>
          <w:vertAlign w:val="subscript"/>
        </w:rPr>
      </w:pPr>
      <w:r>
        <w:rPr>
          <w:rFonts w:ascii="Arial" w:cs="Arial" w:eastAsia="Arial" w:hAnsi="Arial"/>
          <w:sz w:val="17"/>
          <w:szCs w:val="17"/>
          <w:color w:val="auto"/>
        </w:rPr>
        <w:t>13.7 BTC mined daily on average, equivalent to about $390,000 per day and approximately $12.1 million for the month, based on a BTC price of $28,500 on March 31, 2023.</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63" w:lineRule="auto"/>
        <w:rPr>
          <w:sz w:val="20"/>
          <w:szCs w:val="20"/>
          <w:color w:val="auto"/>
        </w:rPr>
      </w:pPr>
      <w:r>
        <w:rPr>
          <w:rFonts w:ascii="Arial" w:cs="Arial" w:eastAsia="Arial" w:hAnsi="Arial"/>
          <w:sz w:val="18"/>
          <w:szCs w:val="18"/>
          <w:color w:val="auto"/>
        </w:rPr>
        <w:t>Gagnon added, “With an eye on continually improving cost controls, during March we successfully piloted a new feature in our proprietary management system to track real time energy consumption on an individual miner basis. Real time tracking allows for machine optimization and is scheduled to be deployed company-wide in April.”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Bitfarms’ BTC Monthly Production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an overview of BTC mined per month in each of the first three months of 2023 and 2022, respectively.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BTC Mined</w:t>
            </w: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BTC Mined</w:t>
            </w: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Month</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486</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February</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298</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YTD</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1,297</w:t>
            </w:r>
          </w:p>
        </w:tc>
        <w:tc>
          <w:tcPr>
            <w:tcW w:w="1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962</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March 2023 Financial Update</w:t>
      </w:r>
    </w:p>
    <w:p>
      <w:pPr>
        <w:spacing w:after="0" w:line="25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Sold 394 BTC of the 424 BTC mined, generating total proceeds of $9.7 million.</w:t>
      </w:r>
    </w:p>
    <w:p>
      <w:pPr>
        <w:spacing w:after="0" w:line="23" w:lineRule="exact"/>
        <w:rPr>
          <w:rFonts w:ascii="Arial" w:cs="Arial" w:eastAsia="Arial" w:hAnsi="Arial"/>
          <w:sz w:val="18"/>
          <w:szCs w:val="18"/>
          <w:color w:val="auto"/>
        </w:rPr>
      </w:pPr>
    </w:p>
    <w:p>
      <w:pPr>
        <w:ind w:left="660" w:right="5180" w:hanging="328"/>
        <w:spacing w:after="0" w:line="180" w:lineRule="auto"/>
        <w:tabs>
          <w:tab w:leader="none" w:pos="660" w:val="left"/>
        </w:tabs>
        <w:numPr>
          <w:ilvl w:val="0"/>
          <w:numId w:val="2"/>
        </w:numPr>
        <w:rPr>
          <w:rFonts w:ascii="Arial" w:cs="Arial" w:eastAsia="Arial" w:hAnsi="Arial"/>
          <w:sz w:val="33"/>
          <w:szCs w:val="33"/>
          <w:color w:val="auto"/>
          <w:vertAlign w:val="subscript"/>
        </w:rPr>
      </w:pPr>
      <w:r>
        <w:rPr>
          <w:rFonts w:ascii="Arial" w:cs="Arial" w:eastAsia="Arial" w:hAnsi="Arial"/>
          <w:sz w:val="17"/>
          <w:szCs w:val="17"/>
          <w:color w:val="auto"/>
        </w:rPr>
        <w:t>Reduced total outstanding indebtedness by $2 million, leaving a balance of $21 million at March 31, 2023.</w:t>
      </w: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Held 435 BTC in custody, representing a total value of approximately $12.4 million based on a BTC price of $28,500, at March 31, 2023.</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Held $29 million in cash and cash equivalents at March 31, 2023.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Held a $22 million credit for pre-paid deposits to be applied against future miner purchase agreements at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Conferences and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plans to attend the following upcoming events:</w:t>
      </w:r>
    </w:p>
    <w:p>
      <w:pPr>
        <w:spacing w:after="0" w:line="2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April 27: Ladenburg Thalmann Technology Expo, New York City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May 18-20: BTC 2023, Miami FL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May 18: 18th Annual Needham Technology &amp; Media Conference, Virtual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087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50876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Founded in 2017, Bitfarms is a global, publicly traded (NASDAQ/TSX: BITF) Bitcoin self-mining company. Bitfarms runs vertically integrated mining operations with in-house management and company-owned electrical engineering, installation service, and onsite technical repair. The Company’s proprietary data analytics system delivers best-in-class operational performance and uptime.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Bitfarms has 10 mining facilities around the world, which are located in four countries: Canada, the United States, Paraguay, and Argentina. Powered by predominantly environmentally friendly hydro-electric and long-term power contracts, Bitfarms is committed to using renewable, locally based, and often underutilized energy infrastructure.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371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Glossary of Terms</w:t>
      </w:r>
    </w:p>
    <w:p>
      <w:pPr>
        <w:spacing w:after="0" w:line="2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BTC BTC/day = Bitcoin or Bitcoin per day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EH or EH/s = Exahash or exahash per second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MW or MWh = Megawatts or megawatt hour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PH or PH/s = Petahash or petahash per second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 or TH/s = Terahash or terahash per second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-679450</wp:posOffset>
            </wp:positionV>
            <wp:extent cx="7132320" cy="1783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8308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ongoing operational and financial performance, debt reduction and liquidity, management of Bitcoin holding, and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spacing w:after="0" w:line="283" w:lineRule="auto"/>
        <w:rPr>
          <w:sz w:val="20"/>
          <w:szCs w:val="20"/>
          <w:color w:val="auto"/>
        </w:rPr>
      </w:pPr>
      <w:r>
        <w:rPr>
          <w:rFonts w:ascii="Arial" w:cs="Arial" w:eastAsia="Arial" w:hAnsi="Arial"/>
          <w:sz w:val="16"/>
          <w:szCs w:val="16"/>
          <w:i w:val="1"/>
          <w:iCs w:val="1"/>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availability of financing opportunities, risks associated with economic conditions, dependence on management and conflicts of interest, the ability to service debt obligations and maintain flexibility in respect of debt covenants; economic dependence on regulated terms of service and electricity rates; the speculative and competitive nature of the technology sector; dependency on continued growth in blockchain and cryptocurrency usage; lawsuits and other legal proceedings and challenges; conflict of interests with directors and management; government regulations; the global economic climate; dilution; the Company’s limited operating history; future capital needs and uncertainty of additional financing, including the Company’s ability to utilize the Company’s at-the-market equity offering program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w:t>
      </w:r>
      <w:r>
        <w:rPr>
          <w:rFonts w:ascii="Arial" w:cs="Arial" w:eastAsia="Arial" w:hAnsi="Arial"/>
          <w:sz w:val="16"/>
          <w:szCs w:val="16"/>
          <w:color w:val="auto"/>
          <w:highlight w:val="white"/>
        </w:rPr>
        <w:t>-ended December 31, 2022, filed on March 21, 2023. The</w:t>
      </w:r>
      <w:r>
        <w:rPr>
          <w:rFonts w:ascii="Arial" w:cs="Arial" w:eastAsia="Arial" w:hAnsi="Arial"/>
          <w:sz w:val="16"/>
          <w:szCs w:val="16"/>
          <w:i w:val="1"/>
          <w:iCs w:val="1"/>
          <w:color w:val="auto"/>
          <w:highlight w:val="white"/>
        </w:rPr>
        <w:t xml:space="preserv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Agency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Lisa Helfer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+1 646-373-9946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mediarelations@bitfarms.com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 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+1 418-693-2425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00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19"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2023-04-03T15:09:20Z</dcterms:created>
  <dcterms:modified xsi:type="dcterms:W3CDTF">2023-04-03T15:09:20Z</dcterms:modified>
</cp:coreProperties>
</file>