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84" w:right="1440"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January 24, 2024,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333-272989).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January 24, 2024</w:t>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jc w:val="right"/>
        <w:spacing w:after="0"/>
        <w:tabs>
          <w:tab w:leader="none" w:pos="2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24,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904" w:right="10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January 24, 2024,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Morphy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gmorphy@bitfarms.com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154305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9"/>
          <w:szCs w:val="29"/>
          <w:b w:val="1"/>
          <w:bCs w:val="1"/>
          <w:color w:val="auto"/>
        </w:rPr>
        <w:t>Bitfarms Purchases Land in Yguazu, Paraguay in Support</w:t>
      </w:r>
    </w:p>
    <w:p>
      <w:pPr>
        <w:spacing w:after="0" w:line="4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9"/>
          <w:szCs w:val="29"/>
          <w:b w:val="1"/>
          <w:bCs w:val="1"/>
          <w:color w:val="auto"/>
        </w:rPr>
        <w:t>of Transformative Fleet Upgrade &amp; 2024 Target of 21 EH/s</w:t>
      </w:r>
    </w:p>
    <w:p>
      <w:pPr>
        <w:spacing w:after="0" w:line="198" w:lineRule="exact"/>
        <w:rPr>
          <w:sz w:val="20"/>
          <w:szCs w:val="20"/>
          <w:color w:val="auto"/>
        </w:rPr>
      </w:pPr>
    </w:p>
    <w:p>
      <w:pPr>
        <w:ind w:right="480" w:hanging="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(January 24, 2024) </w:t>
      </w:r>
      <w:r>
        <w:rPr>
          <w:rFonts w:ascii="Times New Roman" w:cs="Times New Roman" w:eastAsia="Times New Roman" w:hAnsi="Times New Roman"/>
          <w:sz w:val="18"/>
          <w:szCs w:val="18"/>
          <w:color w:val="auto"/>
        </w:rPr>
        <w:t>- Bitfarms Ltd. (NASDAQ: BITF//TSX: BITF), a global vertically integrated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mining company, announces that it has completed the purchase of land for its new 100 MW production facility in Yguazu, Paraguay.</w:t>
      </w:r>
    </w:p>
    <w:p>
      <w:pPr>
        <w:spacing w:after="0" w:line="159" w:lineRule="exact"/>
        <w:rPr>
          <w:sz w:val="20"/>
          <w:szCs w:val="20"/>
          <w:color w:val="auto"/>
        </w:rPr>
      </w:pPr>
    </w:p>
    <w:p>
      <w:pPr>
        <w:ind w:right="200" w:hanging="8"/>
        <w:spacing w:after="0" w:line="258" w:lineRule="auto"/>
        <w:rPr>
          <w:sz w:val="20"/>
          <w:szCs w:val="20"/>
          <w:color w:val="auto"/>
        </w:rPr>
      </w:pPr>
      <w:r>
        <w:rPr>
          <w:rFonts w:ascii="Times New Roman" w:cs="Times New Roman" w:eastAsia="Times New Roman" w:hAnsi="Times New Roman"/>
          <w:sz w:val="18"/>
          <w:szCs w:val="18"/>
          <w:color w:val="auto"/>
        </w:rPr>
        <w:t>“This transaction, an important step in our recently announced transformative fleet upgrade, expands our LATAM portfolio with low-cost renewable hydropower,” said Geoff Morphy, President and CEO of Bitfarms. “The newly acquired land is located in the heart of Paraguay near the Itaipú Dam, the third largest hydropower dam in the world with 14 gigawatts of installed capacity. Positioned to benefit from the region's abundant renewable energy resources, this new facility should be sustainable both economically and environmentally. Once Yguazu comes online, over 85% of our portfolio will be powered by low-cost green energy that promotes environmentally sustainable bitcoin mining.</w:t>
      </w:r>
    </w:p>
    <w:p>
      <w:pPr>
        <w:spacing w:after="0" w:line="183" w:lineRule="exact"/>
        <w:rPr>
          <w:sz w:val="20"/>
          <w:szCs w:val="20"/>
          <w:color w:val="auto"/>
        </w:rPr>
      </w:pPr>
    </w:p>
    <w:p>
      <w:pPr>
        <w:ind w:right="40" w:hanging="8"/>
        <w:spacing w:after="0" w:line="266" w:lineRule="auto"/>
        <w:rPr>
          <w:sz w:val="20"/>
          <w:szCs w:val="20"/>
          <w:color w:val="auto"/>
        </w:rPr>
      </w:pPr>
      <w:r>
        <w:rPr>
          <w:rFonts w:ascii="Times New Roman" w:cs="Times New Roman" w:eastAsia="Times New Roman" w:hAnsi="Times New Roman"/>
          <w:sz w:val="18"/>
          <w:szCs w:val="18"/>
          <w:color w:val="auto"/>
        </w:rPr>
        <w:t>“We look forward to starting construction on the Yguazu farm and anticipate completing the facility's build-out in the second half of 2024. “In conjunction with our miner redeployment strategy, the Yguazu project will be designed to help provide sufficient infrastructure to achieve a corporate hashrate of 21 EH/s by year end 2024 should we exercise our recently announced miner purchase order option for additional Bitmain T21 miners.”</w:t>
      </w:r>
    </w:p>
    <w:p>
      <w:pPr>
        <w:spacing w:after="0" w:line="176" w:lineRule="exact"/>
        <w:rPr>
          <w:sz w:val="20"/>
          <w:szCs w:val="20"/>
          <w:color w:val="auto"/>
        </w:rPr>
      </w:pPr>
    </w:p>
    <w:p>
      <w:pPr>
        <w:ind w:right="40" w:hanging="8"/>
        <w:spacing w:after="0" w:line="266" w:lineRule="auto"/>
        <w:rPr>
          <w:sz w:val="20"/>
          <w:szCs w:val="20"/>
          <w:color w:val="auto"/>
        </w:rPr>
      </w:pPr>
      <w:r>
        <w:rPr>
          <w:rFonts w:ascii="Times New Roman" w:cs="Times New Roman" w:eastAsia="Times New Roman" w:hAnsi="Times New Roman"/>
          <w:sz w:val="18"/>
          <w:szCs w:val="18"/>
          <w:color w:val="auto"/>
        </w:rPr>
        <w:t>“Bitfarms is dedicated to managing costs and driving returns for shareholders. This upgrade should deliver meaningful improvements in hashrate, energy efficiency and cost per bitcoin, positioning us well for the Halving and to capture upside from rising Bitcoin prices and mining economics,” Geoff Morphy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-13335</wp:posOffset>
            </wp:positionV>
            <wp:extent cx="7123430" cy="1645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23430" cy="164592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ind w:left="20" w:righ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11 farms in production, one in expansion, one under construction, and one in development,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23430" cy="137160"/>
                    </a:xfrm>
                    <a:prstGeom prst="rect">
                      <a:avLst/>
                    </a:prstGeom>
                    <a:noFill/>
                  </pic:spPr>
                </pic:pic>
              </a:graphicData>
            </a:graphic>
          </wp:anchor>
        </w:drawing>
        <w:t>To learn more about Bitfarms’ events, developments, and online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5715</wp:posOffset>
            </wp:positionV>
            <wp:extent cx="712343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67208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331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pacing w:after="0" w:line="207" w:lineRule="exact"/>
        <w:rPr>
          <w:sz w:val="20"/>
          <w:szCs w:val="20"/>
          <w:color w:val="auto"/>
        </w:rPr>
      </w:pPr>
    </w:p>
    <w:p>
      <w:pPr>
        <w:ind w:left="20" w:right="120"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None of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left="20" w:hanging="8"/>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expectations for the Company’s planned new facility in Yguazu, Paraguay, including its expected construction timeline,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ind w:left="20" w:hanging="8"/>
        <w:spacing w:after="0" w:line="252" w:lineRule="auto"/>
        <w:rPr>
          <w:sz w:val="20"/>
          <w:szCs w:val="20"/>
          <w:color w:val="auto"/>
        </w:rPr>
      </w:pPr>
      <w:r>
        <w:rPr>
          <w:rFonts w:ascii="Times New Roman" w:cs="Times New Roman" w:eastAsia="Times New Roman" w:hAnsi="Times New Roman"/>
          <w:sz w:val="18"/>
          <w:szCs w:val="18"/>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facility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2022, filed on March 21, 2023.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Tracy Krumme (Bitfarms)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Barnard (LHA)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19" Type="http://schemas.openxmlformats.org/officeDocument/2006/relationships/hyperlink" Target="http://www.sec.gov/Archives/edgar/data/1812477/000121390023052498/ea180981-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2024-01-24T15:12:04Z</dcterms:created>
  <dcterms:modified xsi:type="dcterms:W3CDTF">2024-01-24T15:12:04Z</dcterms:modified>
</cp:coreProperties>
</file>