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month of December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jc w:val="both"/>
        <w:ind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December 16,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7">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333-258788).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120" w:type="dxa"/>
            <w:vAlign w:val="bottom"/>
          </w:tcPr>
          <w:p>
            <w:pPr>
              <w:spacing w:after="0"/>
              <w:rPr>
                <w:sz w:val="20"/>
                <w:szCs w:val="20"/>
                <w:color w:val="auto"/>
              </w:rPr>
            </w:pPr>
          </w:p>
        </w:tc>
      </w:tr>
      <w:tr>
        <w:trPr>
          <w:trHeight w:val="44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Description</w:t>
            </w:r>
          </w:p>
        </w:tc>
      </w:tr>
      <w:tr>
        <w:trPr>
          <w:trHeight w:val="210"/>
        </w:trPr>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6120" w:type="dxa"/>
            <w:vAlign w:val="bottom"/>
            <w:tcBorders>
              <w:top w:val="single" w:sz="8" w:color="auto"/>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Material Change Report dated December 16, 2022</w:t>
            </w:r>
          </w:p>
        </w:tc>
      </w:tr>
      <w:tr>
        <w:trPr>
          <w:trHeight w:val="547"/>
        </w:trPr>
        <w:tc>
          <w:tcPr>
            <w:tcW w:w="13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640" w:type="dxa"/>
            <w:vAlign w:val="bottom"/>
            <w:tcBorders>
              <w:top w:val="single" w:sz="8" w:color="0000EE"/>
              <w:bottom w:val="single" w:sz="8" w:color="auto"/>
            </w:tcBorders>
          </w:tcPr>
          <w:p>
            <w:pPr>
              <w:spacing w:after="0"/>
              <w:rPr>
                <w:sz w:val="24"/>
                <w:szCs w:val="24"/>
                <w:color w:val="auto"/>
              </w:rPr>
            </w:pPr>
          </w:p>
        </w:tc>
        <w:tc>
          <w:tcPr>
            <w:tcW w:w="6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6080"/>
        <w:spacing w:after="0"/>
        <w:tabs>
          <w:tab w:leader="none" w:pos="666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796"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ectPr>
          <w:pgSz w:w="11900" w:h="16838" w:orient="portrait"/>
          <w:cols w:equalWidth="0" w:num="1">
            <w:col w:w="11240"/>
          </w:cols>
          <w:pgMar w:left="320" w:top="108"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16, 2022.</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December 16, 2022 by a newswire company in Canada.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ectPr>
          <w:pgSz w:w="11900" w:h="16838" w:orient="portrait"/>
          <w:cols w:equalWidth="0" w:num="1">
            <w:col w:w="11240"/>
          </w:cols>
          <w:pgMar w:left="320" w:top="108"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of subsection 7.1(2) of National Instrument 51-102</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19685</wp:posOffset>
            </wp:positionV>
            <wp:extent cx="2031365"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Sells de la Pointe Property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US$3.6 Million in Net Proceeds</w:t>
      </w:r>
    </w:p>
    <w:p>
      <w:pPr>
        <w:spacing w:after="0" w:line="207" w:lineRule="exact"/>
        <w:rPr>
          <w:sz w:val="20"/>
          <w:szCs w:val="20"/>
          <w:color w:val="auto"/>
        </w:rPr>
      </w:pPr>
    </w:p>
    <w:p>
      <w:pPr>
        <w:ind w:left="900" w:hanging="568"/>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Société de transport de Sherbrooke leverages electrical infrastructure for its green mobility initiative to create new eco-friendly bus and bike</w:t>
      </w:r>
    </w:p>
    <w:p>
      <w:pPr>
        <w:spacing w:after="0" w:line="27" w:lineRule="exact"/>
        <w:rPr>
          <w:rFonts w:ascii="Times New Roman" w:cs="Times New Roman" w:eastAsia="Times New Roman" w:hAnsi="Times New Roman"/>
          <w:sz w:val="18"/>
          <w:szCs w:val="18"/>
          <w:color w:val="auto"/>
        </w:rPr>
      </w:pPr>
    </w:p>
    <w:p>
      <w:pPr>
        <w:ind w:left="5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w:t>
      </w:r>
    </w:p>
    <w:p>
      <w:pPr>
        <w:spacing w:after="0" w:line="13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(December 16, 2022)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 TSX: BITF</w:t>
      </w:r>
      <w:r>
        <w:rPr>
          <w:rFonts w:ascii="Times New Roman" w:cs="Times New Roman" w:eastAsia="Times New Roman" w:hAnsi="Times New Roman"/>
          <w:sz w:val="18"/>
          <w:szCs w:val="18"/>
          <w:color w:val="auto"/>
        </w:rPr>
        <w:t>), a global Bitcoin self-mining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the sale of its de la Pointe property, receiving US$3.6 million in net proceeds.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“Today we closed on the sale of our de la Pointe location and received net cash proceeds of US$3.6 million, as expected,” said Geoff Morphy, President and COO of Bitfarms. “After an extensive due diligence and competitive process, Société de transport de Sherbrooke (STS) emerged as the successful bidder to acquire this facility, and it’s gratifying that Sherbrooke’s transportation agency can utilize our electrical infrastructure with green power generated by Hydro Québec and supplied by Hydro Sherbrooke to meet the needs of the community. We are also pleased that we could close our de la Pointe facility and build-out our new locations ahead of schedule, important milestones to us and Sherbrooke’s local residents.”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green mobility initiative, this new facility will benefit all our citizens with green bus service and electric-assist bike sharing, which is scheduled to begin in the summer 2023,” said Marc Denault, President of STS. “Located adjacent to our existing facilities, this purchase is a natural extension of our operations and Bitfarms’ electrical enhancements fit perfectly with our needs. For STS, this agreement demonstrates a successful partnership with Bitfarms, which completes the relocation of its Bitcoin mining operation to an industrial area within the City of Sherbrooke. The process ran smoothly, and we are pleased that it was completed several months ahead of schedule.”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has 10 mining facilities in production around the world, which are housed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sale of the de la Pointe Property and the benefits of this transaction for the Company, the City of Sherbrooke and the working relationship of the Company with the City of Sherbrooke,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Contacts: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Weaver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+1 339-234-3332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ectPr>
          <w:pgSz w:w="11900" w:h="16838" w:orient="portrait"/>
          <w:cols w:equalWidth="0" w:num="1">
            <w:col w:w="11240"/>
          </w:cols>
          <w:pgMar w:left="320" w:top="792" w:right="339" w:bottom="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17"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2022-12-16T15:04:19Z</dcterms:created>
  <dcterms:modified xsi:type="dcterms:W3CDTF">2022-12-16T15:04:19Z</dcterms:modified>
</cp:coreProperties>
</file>