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report on Form 6-K, including the interim condensed consolidated financial statements for the three and nine months ended September 30, 2024 and management’s discussion and analysis for the three and nine months ended September 30, 2024, shall be deemed to be incorporated by reference as </w:t>
      </w:r>
      <w:hyperlink r:id="rId19">
        <w:r>
          <w:rPr>
            <w:rFonts w:ascii="Times New Roman" w:cs="Times New Roman" w:eastAsia="Times New Roman" w:hAnsi="Times New Roman"/>
            <w:sz w:val="18"/>
            <w:szCs w:val="18"/>
            <w:color w:val="auto"/>
          </w:rPr>
          <w:t xml:space="preserve">exhibits to the Registration Statement of Bitfarms Ltd. on Form F-10 (File No. </w:t>
        </w:r>
        <w:r>
          <w:rPr>
            <w:rFonts w:ascii="Times New Roman" w:cs="Times New Roman" w:eastAsia="Times New Roman" w:hAnsi="Times New Roman"/>
            <w:sz w:val="18"/>
            <w:szCs w:val="18"/>
            <w:u w:val="single" w:color="auto"/>
            <w:color w:val="0000EE"/>
          </w:rPr>
          <w:t>333-272989</w:t>
        </w:r>
        <w:r>
          <w:rPr>
            <w:rFonts w:ascii="Times New Roman" w:cs="Times New Roman" w:eastAsia="Times New Roman" w:hAnsi="Times New Roman"/>
            <w:sz w:val="18"/>
            <w:szCs w:val="18"/>
            <w:color w:val="auto"/>
          </w:rPr>
          <w:t xml:space="preserve">), Form S-8 (File No. </w:t>
        </w:r>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color w:val="auto"/>
          </w:rPr>
          <w:t xml:space="preserve">) and Form F-4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282657</w:t>
        </w:r>
        <w:r>
          <w:rPr>
            <w:rFonts w:ascii="Times New Roman" w:cs="Times New Roman" w:eastAsia="Times New Roman" w:hAnsi="Times New Roman"/>
            <w:sz w:val="18"/>
            <w:szCs w:val="18"/>
            <w:color w:val="000000"/>
          </w:rPr>
          <w:t>) and to be a part thereof from the date on which this report was furnished, to the extent not superseded by documents or reports subsequently filed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or furnished.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Financial Statements for the three and nine months ended September 30, 2024</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&amp; Analysis for the three and nine months ended September 30, 2024</w:t>
            </w:r>
          </w:p>
        </w:tc>
        <w:tc>
          <w:tcPr>
            <w:tcW w:w="206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CEO Certification of Interim Filings - Interim Certificate dated November 13, 2024</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top w:val="single" w:sz="8" w:color="CCEEFF"/>
            </w:tcBorders>
          </w:tcPr>
          <w:p>
            <w:pPr>
              <w:spacing w:after="0"/>
              <w:rPr>
                <w:sz w:val="15"/>
                <w:szCs w:val="15"/>
                <w:color w:val="auto"/>
              </w:rPr>
            </w:pPr>
          </w:p>
        </w:tc>
        <w:tc>
          <w:tcPr>
            <w:tcW w:w="6020" w:type="dxa"/>
            <w:vAlign w:val="bottom"/>
            <w:tcBorders>
              <w:top w:val="single" w:sz="8" w:color="0000EE"/>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CFO Certification of Interim Filings - Interim Certificate dated November 13, 2024</w:t>
            </w:r>
          </w:p>
        </w:tc>
        <w:tc>
          <w:tcPr>
            <w:tcW w:w="4080" w:type="dxa"/>
            <w:vAlign w:val="bottom"/>
            <w:tcBorders>
              <w:top w:val="single" w:sz="8" w:color="CCEEFF"/>
            </w:tcBorders>
            <w:gridSpan w:val="3"/>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12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Change Report dated November 13, 2024</w:t>
            </w:r>
          </w:p>
        </w:tc>
        <w:tc>
          <w:tcPr>
            <w:tcW w:w="6440" w:type="dxa"/>
            <w:vAlign w:val="bottom"/>
            <w:tcBorders>
              <w:bottom w:val="single" w:sz="8" w:color="CCEEFF"/>
            </w:tcBorders>
            <w:gridSpan w:val="4"/>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2743200" cy="711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74320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2366010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98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Financial Position</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9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Profit or Loss and Comprehensive Profit or Loss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39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Consolidated Statements of Changes in Equity</w:t>
            </w:r>
          </w:p>
        </w:tc>
        <w:tc>
          <w:tcPr>
            <w:tcW w:w="594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98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15"/>
                <w:szCs w:val="15"/>
                <w:color w:val="auto"/>
              </w:rPr>
            </w:pPr>
          </w:p>
        </w:tc>
        <w:tc>
          <w:tcPr>
            <w:tcW w:w="101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the Interim Condensed Consolidated Financial Statements (unaudited)</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14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Nature of Operations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52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Liquidity</w:t>
            </w:r>
          </w:p>
        </w:tc>
        <w:tc>
          <w:tcPr>
            <w:tcW w:w="8620" w:type="dxa"/>
            <w:vAlign w:val="bottom"/>
            <w:tcBorders>
              <w:top w:val="single" w:sz="8" w:color="CCEEFF"/>
            </w:tcBorders>
            <w:gridSpan w:val="1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478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Basis of Presentation and Material Accounting Policy Information</w:t>
            </w:r>
          </w:p>
        </w:tc>
        <w:tc>
          <w:tcPr>
            <w:tcW w:w="536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1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Judgments and Estimates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Other Assets</w:t>
            </w:r>
          </w:p>
        </w:tc>
        <w:tc>
          <w:tcPr>
            <w:tcW w:w="9200" w:type="dxa"/>
            <w:vAlign w:val="bottom"/>
            <w:tcBorders>
              <w:bottom w:val="single" w:sz="8" w:color="CCEEFF"/>
              <w:right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1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Digital Assets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14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Derivative Assets and Liabilities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36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Assets Held for Sale</w:t>
            </w:r>
          </w:p>
        </w:tc>
        <w:tc>
          <w:tcPr>
            <w:tcW w:w="778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14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Impairment</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1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Intangible Assets</w:t>
            </w:r>
          </w:p>
        </w:tc>
        <w:tc>
          <w:tcPr>
            <w:tcW w:w="8880" w:type="dxa"/>
            <w:vAlign w:val="bottom"/>
            <w:tcBorders>
              <w:bottom w:val="single" w:sz="8" w:color="CCEEFF"/>
              <w:right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01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Long-term Deposits, Equipment Prepayments, Commitments and Other</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84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Trade Payables and Accrued Liabilities</w:t>
            </w:r>
          </w:p>
        </w:tc>
        <w:tc>
          <w:tcPr>
            <w:tcW w:w="7300" w:type="dxa"/>
            <w:vAlign w:val="bottom"/>
            <w:tcBorders>
              <w:bottom w:val="single" w:sz="8" w:color="CCEEFF"/>
              <w:right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01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Warrant Liabilities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1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Long-term Debt</w:t>
            </w:r>
          </w:p>
        </w:tc>
        <w:tc>
          <w:tcPr>
            <w:tcW w:w="8960" w:type="dxa"/>
            <w:vAlign w:val="bottom"/>
            <w:tcBorders>
              <w:bottom w:val="single" w:sz="8" w:color="CCEEFF"/>
              <w:right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01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Leases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14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Income Taxes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0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9140" w:type="dxa"/>
            <w:vAlign w:val="bottom"/>
            <w:tcBorders>
              <w:top w:val="single" w:sz="8" w:color="CCEEFF"/>
            </w:tcBorders>
            <w:gridSpan w:val="22"/>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5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Instruments</w:t>
            </w:r>
          </w:p>
        </w:tc>
        <w:tc>
          <w:tcPr>
            <w:tcW w:w="8560" w:type="dxa"/>
            <w:vAlign w:val="bottom"/>
            <w:tcBorders>
              <w:bottom w:val="single" w:sz="8" w:color="CCEEFF"/>
              <w:right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101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Transactions and Balances with Related Parties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40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Net Loss Per Share</w:t>
            </w:r>
          </w:p>
        </w:tc>
        <w:tc>
          <w:tcPr>
            <w:tcW w:w="8740" w:type="dxa"/>
            <w:vAlign w:val="bottom"/>
            <w:tcBorders>
              <w:bottom w:val="single" w:sz="8" w:color="CCEEFF"/>
              <w:right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1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Share-based Payments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14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 of Profit or Loss and Comprehensive Profit or Loss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628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Geographical Information</w:t>
            </w:r>
          </w:p>
        </w:tc>
        <w:tc>
          <w:tcPr>
            <w:tcW w:w="38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0140" w:type="dxa"/>
            <w:vAlign w:val="bottom"/>
            <w:tcBorders>
              <w:right w:val="single" w:sz="8" w:color="CCEE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Statements of Cash Flows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370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Subsequent Events</w:t>
            </w:r>
          </w:p>
        </w:tc>
        <w:tc>
          <w:tcPr>
            <w:tcW w:w="644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46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10140" w:type="dxa"/>
            <w:vAlign w:val="bottom"/>
            <w:tcBorders>
              <w:right w:val="single" w:sz="8" w:color="auto"/>
            </w:tcBorders>
            <w:gridSpan w:val="28"/>
          </w:tcPr>
          <w:p>
            <w:pPr>
              <w:ind w:left="998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FINANCIAL POSITION </w:t>
      </w: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6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91"/>
        </w:trPr>
        <w:tc>
          <w:tcPr>
            <w:tcW w:w="56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2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72,913</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14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1,473</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11,440</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15,918</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6,393</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2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396</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72,629</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31,870</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 pledged as collateral</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6, 15</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2,101</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1,175</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6,996</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5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6,107</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r>
      <w:tr>
        <w:trPr>
          <w:trHeight w:val="209"/>
        </w:trPr>
        <w:tc>
          <w:tcPr>
            <w:tcW w:w="56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189,047</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129,984</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10, 24</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246,514</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23,955</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14,315</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122,901</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44,714</w:t>
            </w:r>
          </w:p>
        </w:tc>
      </w:tr>
      <w:tr>
        <w:trPr>
          <w:trHeight w:val="216"/>
        </w:trPr>
        <w:tc>
          <w:tcPr>
            <w:tcW w:w="5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4,208</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r>
        <w:trPr>
          <w:trHeight w:val="217"/>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586,625</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34,314</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20,739</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2,309</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2,857</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r>
      <w:tr>
        <w:trPr>
          <w:trHeight w:val="216"/>
        </w:trPr>
        <w:tc>
          <w:tcPr>
            <w:tcW w:w="5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14, 18</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14,327</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r>
        <w:trPr>
          <w:trHeight w:val="209"/>
        </w:trPr>
        <w:tc>
          <w:tcPr>
            <w:tcW w:w="56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51,092</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69,154</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1,530</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19,974</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12,993</w:t>
            </w:r>
          </w:p>
        </w:tc>
      </w:tr>
      <w:tr>
        <w:trPr>
          <w:trHeight w:val="216"/>
        </w:trPr>
        <w:tc>
          <w:tcPr>
            <w:tcW w:w="56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2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r>
      <w:tr>
        <w:trPr>
          <w:trHeight w:val="216"/>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74,601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83,963</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14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796,751</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530,123</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63,785</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56,622</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(351,823)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(294,924)</w:t>
            </w:r>
          </w:p>
        </w:tc>
      </w:tr>
      <w:tr>
        <w:trPr>
          <w:trHeight w:val="216"/>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2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3,311</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w:t>
            </w:r>
          </w:p>
        </w:tc>
      </w:tr>
      <w:tr>
        <w:trPr>
          <w:trHeight w:val="210"/>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512,024</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294,762</w:t>
            </w:r>
          </w:p>
        </w:tc>
      </w:tr>
      <w:tr>
        <w:trPr>
          <w:trHeight w:val="217"/>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586,625</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tc>
        <w:tc>
          <w:tcPr>
            <w:tcW w:w="2680" w:type="dxa"/>
            <w:vAlign w:val="bottom"/>
          </w:tcPr>
          <w:p>
            <w:pPr>
              <w:spacing w:after="0"/>
              <w:rPr>
                <w:sz w:val="20"/>
                <w:szCs w:val="20"/>
                <w:color w:val="auto"/>
              </w:rPr>
            </w:pPr>
          </w:p>
        </w:tc>
      </w:tr>
      <w:tr>
        <w:trPr>
          <w:trHeight w:val="452"/>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November 12, 2024</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/s/ Brian Howlett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9"/>
              </w:rPr>
              <w:t>/s/ Ben Gagnon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/s/ Jeffrey Lucas</w:t>
            </w:r>
          </w:p>
        </w:tc>
      </w:tr>
      <w:tr>
        <w:trPr>
          <w:trHeight w:val="194"/>
        </w:trPr>
        <w:tc>
          <w:tcPr>
            <w:tcW w:w="28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Date of approval of the financial</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Chairman of the Board of</w:t>
            </w:r>
          </w:p>
        </w:tc>
        <w:tc>
          <w:tcPr>
            <w:tcW w:w="10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Chief Executive Officer &amp;</w:t>
            </w:r>
          </w:p>
        </w:tc>
        <w:tc>
          <w:tcPr>
            <w:tcW w:w="1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statements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2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3  Page</w:t>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22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PROFIT OR LOSS AND COMPREHENSIVE PROFIT OR LOSS </w:t>
      </w:r>
      <w:r>
        <w:rPr>
          <w:rFonts w:ascii="Times New Roman" w:cs="Times New Roman" w:eastAsia="Times New Roman" w:hAnsi="Times New Roman"/>
          <w:sz w:val="18"/>
          <w:szCs w:val="18"/>
          <w:color w:val="auto"/>
        </w:rPr>
        <w:t>(Expressed in thousands of U.S. dollars, except per share amounts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2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1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2023 (restated</w:t>
            </w: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2023 (restated</w:t>
            </w:r>
          </w:p>
        </w:tc>
        <w:tc>
          <w:tcPr>
            <w:tcW w:w="0" w:type="dxa"/>
            <w:vAlign w:val="bottom"/>
          </w:tcPr>
          <w:p>
            <w:pPr>
              <w:spacing w:after="0"/>
              <w:rPr>
                <w:sz w:val="1"/>
                <w:szCs w:val="1"/>
                <w:color w:val="auto"/>
              </w:rPr>
            </w:pPr>
          </w:p>
        </w:tc>
      </w:tr>
      <w:tr>
        <w:trPr>
          <w:trHeight w:val="234"/>
        </w:trPr>
        <w:tc>
          <w:tcPr>
            <w:tcW w:w="4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Note 3d)</w:t>
            </w:r>
          </w:p>
        </w:tc>
        <w:tc>
          <w:tcPr>
            <w:tcW w:w="12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Note 3d)</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6, 24</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34,596</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100,125</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(43,462)</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(123,384)</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(11,789)</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(8,866)</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(33,746)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(27,600)</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(8,372)</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(53,198)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(25,887)</w:t>
            </w: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(Revaluation loss) reversal of revaluation loss on digital</w:t>
            </w:r>
          </w:p>
        </w:tc>
        <w:tc>
          <w:tcPr>
            <w:tcW w:w="112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13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(1,183)</w:t>
            </w:r>
          </w:p>
        </w:tc>
        <w:tc>
          <w:tcPr>
            <w:tcW w:w="1260" w:type="dxa"/>
            <w:vAlign w:val="bottom"/>
            <w:vMerge w:val="continue"/>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198"/>
        </w:trPr>
        <w:tc>
          <w:tcPr>
            <w:tcW w:w="4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disposition of property, plant and equipment and</w:t>
            </w:r>
          </w:p>
        </w:tc>
        <w:tc>
          <w:tcPr>
            <w:tcW w:w="1120" w:type="dxa"/>
            <w:vAlign w:val="bottom"/>
          </w:tcPr>
          <w:p>
            <w:pPr>
              <w:spacing w:after="0"/>
              <w:rPr>
                <w:sz w:val="17"/>
                <w:szCs w:val="17"/>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(875)</w:t>
            </w:r>
          </w:p>
        </w:tc>
        <w:tc>
          <w:tcPr>
            <w:tcW w:w="1400" w:type="dxa"/>
            <w:vAlign w:val="bottom"/>
          </w:tcPr>
          <w:p>
            <w:pPr>
              <w:spacing w:after="0"/>
              <w:rPr>
                <w:sz w:val="17"/>
                <w:szCs w:val="17"/>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(606)</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12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(217)</w:t>
            </w:r>
          </w:p>
        </w:tc>
        <w:tc>
          <w:tcPr>
            <w:tcW w:w="1260" w:type="dxa"/>
            <w:vAlign w:val="bottom"/>
            <w:vMerge w:val="continue"/>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 property, plant</w:t>
            </w:r>
          </w:p>
        </w:tc>
        <w:tc>
          <w:tcPr>
            <w:tcW w:w="112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w:t>
            </w:r>
          </w:p>
        </w:tc>
        <w:tc>
          <w:tcPr>
            <w:tcW w:w="13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equipment and assets held for sale</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(43,892)</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(18,638)</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(91,178)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7,241</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2,532</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17,367</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12,492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(36,651)</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(16,106)</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(73,811)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(401)</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4,583</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(36,649)</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(16,507)</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721</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(824)</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12,699</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(35,928)</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(17,331)</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(56,529)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w:t>
            </w: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(0.08)</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(0.17)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w:t>
            </w: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448,711,912</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273,906,752</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396,423,169</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251,010,194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4  Page</w:t>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60"/>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INTERIM CONSOLIDATED STATEMENTS OF CHANGES IN EQUITY </w:t>
      </w:r>
      <w:r>
        <w:rPr>
          <w:rFonts w:ascii="Times New Roman" w:cs="Times New Roman" w:eastAsia="Times New Roman" w:hAnsi="Times New Roman"/>
          <w:sz w:val="17"/>
          <w:szCs w:val="17"/>
          <w:color w:val="auto"/>
        </w:rPr>
        <w:t>(Expressed in thousands of U.S. dollars, except number of shares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Revaluation</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7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334,153,330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530,123</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56,622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294,762</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(69,228)</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7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12,699</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12,699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(56,529)</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 of digital</w:t>
            </w:r>
          </w:p>
        </w:tc>
        <w:tc>
          <w:tcPr>
            <w:tcW w:w="760" w:type="dxa"/>
            <w:vAlign w:val="bottom"/>
          </w:tcPr>
          <w:p>
            <w:pPr>
              <w:spacing w:after="0"/>
              <w:rPr>
                <w:sz w:val="17"/>
                <w:szCs w:val="17"/>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12,329</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(12,329)</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assets to accumulated deficit, net of tax</w:t>
            </w:r>
          </w:p>
        </w:tc>
        <w:tc>
          <w:tcPr>
            <w:tcW w:w="7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9,928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9,928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110,856,066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242,392</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242,392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366,666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18, 22</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7,559,259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23,220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21,471</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7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452,935,321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796,751</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63,785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(351,823)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512,024</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 (restated - Note 3d)</w:t>
            </w:r>
          </w:p>
        </w:tc>
        <w:tc>
          <w:tcPr>
            <w:tcW w:w="7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224,200,170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404,934</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47,653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255,398</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7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 of digital</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assets to accumulated deficit, net of tax</w:t>
            </w:r>
          </w:p>
        </w:tc>
        <w:tc>
          <w:tcPr>
            <w:tcW w:w="76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52,941,736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69,858</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141,668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18, 22</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400,875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87"/>
        </w:trPr>
        <w:tc>
          <w:tcPr>
            <w:tcW w:w="42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September 30, 2023 (restated - Note</w:t>
            </w:r>
          </w:p>
        </w:tc>
        <w:tc>
          <w:tcPr>
            <w:tcW w:w="7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3d)</w:t>
            </w:r>
          </w:p>
        </w:tc>
        <w:tc>
          <w:tcPr>
            <w:tcW w:w="7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277,684,449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475,492</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(242,499)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287,117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5  Page</w:t>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3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2023 (restated -</w:t>
            </w:r>
          </w:p>
        </w:tc>
        <w:tc>
          <w:tcPr>
            <w:tcW w:w="0" w:type="dxa"/>
            <w:vAlign w:val="bottom"/>
          </w:tcPr>
          <w:p>
            <w:pPr>
              <w:spacing w:after="0"/>
              <w:rPr>
                <w:sz w:val="1"/>
                <w:szCs w:val="1"/>
                <w:color w:val="auto"/>
              </w:rPr>
            </w:pPr>
          </w:p>
        </w:tc>
      </w:tr>
      <w:tr>
        <w:trPr>
          <w:trHeight w:val="234"/>
        </w:trPr>
        <w:tc>
          <w:tcPr>
            <w:tcW w:w="7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Note 3d)</w:t>
            </w:r>
          </w:p>
        </w:tc>
        <w:tc>
          <w:tcPr>
            <w:tcW w:w="0" w:type="dxa"/>
            <w:vAlign w:val="bottom"/>
          </w:tcPr>
          <w:p>
            <w:pPr>
              <w:spacing w:after="0"/>
              <w:rPr>
                <w:sz w:val="1"/>
                <w:szCs w:val="1"/>
                <w:color w:val="auto"/>
              </w:rPr>
            </w:pPr>
          </w:p>
        </w:tc>
      </w:tr>
      <w:tr>
        <w:trPr>
          <w:trHeight w:val="426"/>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non-cash items:</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23, 25</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116,383</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62,995</w:t>
            </w:r>
          </w:p>
        </w:tc>
        <w:tc>
          <w:tcPr>
            <w:tcW w:w="0" w:type="dxa"/>
            <w:vAlign w:val="bottom"/>
          </w:tcPr>
          <w:p>
            <w:pPr>
              <w:spacing w:after="0"/>
              <w:rPr>
                <w:sz w:val="1"/>
                <w:szCs w:val="1"/>
                <w:color w:val="auto"/>
              </w:rPr>
            </w:pPr>
          </w:p>
        </w:tc>
      </w:tr>
      <w:tr>
        <w:trPr>
          <w:trHeight w:val="198"/>
        </w:trPr>
        <w:tc>
          <w:tcPr>
            <w:tcW w:w="7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 property, plant and equipment and assets held for</w:t>
            </w:r>
          </w:p>
        </w:tc>
        <w:tc>
          <w:tcPr>
            <w:tcW w:w="13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w:t>
            </w:r>
          </w:p>
        </w:tc>
        <w:tc>
          <w:tcPr>
            <w:tcW w:w="11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9,982</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income</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(17,367)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earned</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(132,644)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(96,350)</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9,928</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recovery</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(4,583)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disposition of property, plant and equipment and deposits</w:t>
            </w:r>
          </w:p>
        </w:tc>
        <w:tc>
          <w:tcPr>
            <w:tcW w:w="13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606</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111,264</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87,724</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financial income received (expenses paid)</w:t>
            </w:r>
          </w:p>
        </w:tc>
        <w:tc>
          <w:tcPr>
            <w:tcW w:w="13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3,803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 received</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(1,247)</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7,275</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(6,439)</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1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14,104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10,028</w:t>
            </w:r>
          </w:p>
        </w:tc>
        <w:tc>
          <w:tcPr>
            <w:tcW w:w="0" w:type="dxa"/>
            <w:vAlign w:val="bottom"/>
          </w:tcPr>
          <w:p>
            <w:pPr>
              <w:spacing w:after="0"/>
              <w:rPr>
                <w:sz w:val="1"/>
                <w:szCs w:val="1"/>
                <w:color w:val="auto"/>
              </w:rPr>
            </w:pPr>
          </w:p>
        </w:tc>
      </w:tr>
      <w:tr>
        <w:trPr>
          <w:trHeight w:val="209"/>
        </w:trPr>
        <w:tc>
          <w:tcPr>
            <w:tcW w:w="7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3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(168,687)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(43,576)</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 and assets held for sale</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2,598</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(10,405)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(33,759)</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11,936</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45,005</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Refundable deposit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(7,800)</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(96,504)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Acquisitions of assets</w:t>
            </w:r>
          </w:p>
        </w:tc>
        <w:tc>
          <w:tcPr>
            <w:tcW w:w="1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1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(268,862)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(35,373)</w:t>
            </w:r>
          </w:p>
        </w:tc>
        <w:tc>
          <w:tcPr>
            <w:tcW w:w="0" w:type="dxa"/>
            <w:vAlign w:val="bottom"/>
          </w:tcPr>
          <w:p>
            <w:pPr>
              <w:spacing w:after="0"/>
              <w:rPr>
                <w:sz w:val="1"/>
                <w:szCs w:val="1"/>
                <w:color w:val="auto"/>
              </w:rPr>
            </w:pPr>
          </w:p>
        </w:tc>
      </w:tr>
      <w:tr>
        <w:trPr>
          <w:trHeight w:val="209"/>
        </w:trPr>
        <w:tc>
          <w:tcPr>
            <w:tcW w:w="7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239,392</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68,504</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1,695</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18, 22</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8,620</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1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1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243,664</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41,268</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1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(11,094)</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15,923</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72,913</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46,775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6  Page</w:t>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29"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Bitfarms Ltd. was incorporated under the Canada Business Corporations Act on October 11, 2018 and continued under the Business Corporations Act (Ontario) on August 27, 2021. The consolidated financial statements of the corporation comprise the accounts of Bitfarms Ltd. and its wholly-owned subsidiaries (together referred to as the “Company” or “Bitfarms”). The common shares of the Company are listed on the Nasdaq Stock Market and the Toronto Stock Exchange (Nasdaq/TSX: BITF). Its registered office is located at 110 Yonge Street, Suite 1601, Toronto, Ontario, Canada, M5C 1T4.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activities of the Company are mainly comprised of selling its computational power used for hashing calculations for the purpose of cryptocurrency mining in multiple jurisdictions as described in Note 24 “Geographical Information”. The Company’s operations are currently located in Canada, the United States, Argentina and Paraguay. Volta, a wholly-owned subsidiary of the Company, assists the Company in building and maintaining its data centers and provides electrician services to both commercial and residential customers in Quebec.</w:t>
      </w:r>
    </w:p>
    <w:p>
      <w:pPr>
        <w:spacing w:after="0" w:line="180" w:lineRule="exact"/>
        <w:rPr>
          <w:sz w:val="20"/>
          <w:szCs w:val="20"/>
          <w:color w:val="auto"/>
        </w:rPr>
      </w:pPr>
    </w:p>
    <w:p>
      <w:pPr>
        <w:jc w:val="both"/>
        <w:ind w:left="20" w:hanging="4"/>
        <w:spacing w:after="0" w:line="254" w:lineRule="auto"/>
        <w:rPr>
          <w:sz w:val="20"/>
          <w:szCs w:val="20"/>
          <w:color w:val="auto"/>
        </w:rPr>
      </w:pPr>
      <w:r>
        <w:rPr>
          <w:rFonts w:ascii="Times New Roman" w:cs="Times New Roman" w:eastAsia="Times New Roman" w:hAnsi="Times New Roman"/>
          <w:sz w:val="18"/>
          <w:szCs w:val="18"/>
          <w:color w:val="auto"/>
        </w:rPr>
        <w:t>Bitfarms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a Mining pool operator under a formula-driven rate commonly known in the industry as Full Pay Per Share (“FPPS”). Under FPPS, Mining pool operators compensate Mining companies for their computational power used for hashing calculations, measured through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generally paid to the Company on a daily basis in BTC (as defined below). Bitfarms accumulates the cryptocurrency fees it receives or exchanges them for U.S. dollars through reputable and established cryptocurrency trading platforms.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terms below have the following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Term</w:t>
            </w:r>
          </w:p>
        </w:tc>
        <w:tc>
          <w:tcPr>
            <w:tcW w:w="74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57"/>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3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Backbone</w:t>
            </w:r>
          </w:p>
        </w:tc>
        <w:tc>
          <w:tcPr>
            <w:tcW w:w="7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25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Volta</w:t>
            </w:r>
          </w:p>
        </w:tc>
        <w:tc>
          <w:tcPr>
            <w:tcW w:w="7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63"/>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3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Backbone Argentina</w:t>
            </w:r>
          </w:p>
        </w:tc>
        <w:tc>
          <w:tcPr>
            <w:tcW w:w="7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5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Backbone Paraguay</w:t>
            </w:r>
          </w:p>
        </w:tc>
        <w:tc>
          <w:tcPr>
            <w:tcW w:w="7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63"/>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3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Backbone Mining</w:t>
            </w:r>
          </w:p>
        </w:tc>
        <w:tc>
          <w:tcPr>
            <w:tcW w:w="7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5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BTC</w:t>
            </w:r>
          </w:p>
        </w:tc>
        <w:tc>
          <w:tcPr>
            <w:tcW w:w="7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Bitcoin</w:t>
            </w:r>
          </w:p>
        </w:tc>
      </w:tr>
      <w:tr>
        <w:trPr>
          <w:trHeight w:val="263"/>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3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BVVE</w:t>
            </w:r>
          </w:p>
        </w:tc>
        <w:tc>
          <w:tcPr>
            <w:tcW w:w="7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Blockchain Verification and Validation Equipment (primarily Miners)</w:t>
            </w:r>
          </w:p>
        </w:tc>
      </w:tr>
      <w:tr>
        <w:trPr>
          <w:trHeight w:val="25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CAD</w:t>
            </w:r>
          </w:p>
        </w:tc>
        <w:tc>
          <w:tcPr>
            <w:tcW w:w="7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63"/>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3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USD</w:t>
            </w:r>
          </w:p>
        </w:tc>
        <w:tc>
          <w:tcPr>
            <w:tcW w:w="7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U.S. Dollars</w:t>
            </w:r>
          </w:p>
        </w:tc>
      </w:tr>
      <w:tr>
        <w:trPr>
          <w:trHeight w:val="25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3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ARS</w:t>
            </w:r>
          </w:p>
        </w:tc>
        <w:tc>
          <w:tcPr>
            <w:tcW w:w="74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7  Page</w:t>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is primarily engaged in the Bitcoin Mining industry, a highly volatile industry subject to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have impacted the recoverability of the Company’s digital assets and property, plant and equipment (“PPE”), resulting in impairment losses being recorded.</w:t>
      </w:r>
    </w:p>
    <w:p>
      <w:pPr>
        <w:spacing w:after="0" w:line="183"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Company’s current operating budget and future estimated cash flows indicate that the Company will generate positive cash flow in excess of the Company’s cash commitments within the twelve-month period following the date these interim condensed consolidated financial statements were authorized for issuance (the “twelve-month period”). These analyses are based on BTC market factors including price, difficulty and network hashrate for the twelve-month period.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BTC Halving event is scheduled to occur once every 210,000 blocks, or roughly every four years, until the total amount of BTC rewards issued reaches 21 million, which is expected to occur around 2140. The most recent BTC Halving event occurred on April 19, 2024, at which time BTC block rewards decreased from 6.25 BTC per block to 3.125 BTC per block. Once 21 million BTC are generated,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Pools. Similar to past BTC Halvings events, the BTC price did not have an immediate favorable impact after the BTC Halving that occurred on April 19, 2024. It took approximately six months for the Company’s revenue per terahash to return to the level experienced prior to the May 2020 BTC Halving event. Since the BTC halving on April 19, 2024, revenue per terahash has not yet returned to pre-halving levels.</w:t>
      </w:r>
    </w:p>
    <w:p>
      <w:pPr>
        <w:spacing w:after="0" w:line="19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At current BTC prices, the Company’s existing cash resources and the proceeds from sales of its BTC treasury and BTC earned may not be sufficient to fund capital investments to fully support its growth objectives. If the proceeds from the sale of BTC are not sufficient, the Company would be required to raise additional funds from external sources to meet these requirements. There is no assurance that the Company will be able to raise such additional funds on acceptable terms, if at all.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raises additional funds by issuing securities, existing shareholders’ ownership in the Company may be diluted. If the Company is unable to obtain financing, including by issuing securities, or if funds from operations and proceeds from sales of the Company’s BTC holdings are negatively impacted by the BTC price, the Company may have difficulty meeting its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8  Page</w:t>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BASIS OF PRESENTATION AND MATERIAL ACCOUNTING POLICY INFORMATION</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measurement</w:t>
      </w:r>
    </w:p>
    <w:p>
      <w:pPr>
        <w:spacing w:after="0" w:line="229"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(“Financial Statements”) of the Company comprise the accounts of Bitfarms Ltd. and its wholly-owned subsidiaries. These Financial Statements have been prepared in accordance with International Financial Reporting Standards as issued by the International Accounting Standards Board (“IFRS Accounting Standards”) applicable to the preparation of interim financial statements, including International Accounting Standard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These Financial Statements were approved by the Board of Directors (the “Board”) on November 12,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do not include all the information required for full annual financial statements and should be read in conjunction with the audited annual consolidated financial statements of the Company and the notes thereto for the year ended December 31, 2023.</w:t>
      </w:r>
    </w:p>
    <w:p>
      <w:pPr>
        <w:spacing w:after="0" w:line="162"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These Financial Statements have been prepared under the same accounting policies used in the audited annual consolidated financial statements for the year ended December 31, 2023, except for new accounting standards issued and adopted by the Company which are described below. The accounting policies have been applied consistently by the Company’s entities and to all periods presented in these Financial Statements, unless otherwise indicated.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on the historical cost basis, except for the revaluation of certain financial instruments and digital assets recorded at fair value, and assets held for sale measured at the lower of their carrying amount and fair value less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9  Page</w:t>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and adopted by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amendments to existing standards were adopted by the Company as of January 1, 2024:</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16, </w:t>
      </w: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b w:val="1"/>
          <w:bCs w:val="1"/>
          <w:color w:val="auto"/>
        </w:rPr>
        <w:t xml:space="preserve"> (“IFRS 16”)</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Amendments to IFRS 16 require a seller-lessee to subsequently measure lease liabilities arising from a leaseback in a manner that does not recognize any amount of the gain or loss that relates to the right-of-use retained. The new requirements do not prevent a seller-lessee from recognizing in profit or loss any gain or loss relating to the partial or full termination of a lease.</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 </w:t>
      </w:r>
      <w:r>
        <w:rPr>
          <w:rFonts w:ascii="Times New Roman" w:cs="Times New Roman" w:eastAsia="Times New Roman" w:hAnsi="Times New Roman"/>
          <w:sz w:val="18"/>
          <w:szCs w:val="18"/>
          <w:b w:val="1"/>
          <w:bCs w:val="1"/>
          <w:i w:val="1"/>
          <w:iCs w:val="1"/>
          <w:color w:val="auto"/>
        </w:rPr>
        <w:t>Presentation of the Financial Statements</w:t>
      </w:r>
      <w:r>
        <w:rPr>
          <w:rFonts w:ascii="Times New Roman" w:cs="Times New Roman" w:eastAsia="Times New Roman" w:hAnsi="Times New Roman"/>
          <w:sz w:val="18"/>
          <w:szCs w:val="18"/>
          <w:b w:val="1"/>
          <w:bCs w:val="1"/>
          <w:color w:val="auto"/>
        </w:rPr>
        <w:t xml:space="preserve"> (“IAS 1”)</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Amendments to IAS 1 clarify how to classify debt and other liabilities as current or non-current. The amendments help to determine whether, in the interim consolidated statements of financial position, debt and other liabilities with an uncertain settlement date should be classified as current (due or potentially due to be settled within one year) or non-current. The amendments also include clarifying the classification requirements for debt that an entity might settle by converting into equity.</w:t>
      </w:r>
    </w:p>
    <w:p>
      <w:pPr>
        <w:spacing w:after="0" w:line="189"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Amendments to IAS 1 specify that covenants to be complied with after the reporting date do not affect the classification of debt as current or non-current at the reporting date. Instead, the amendments require information about these covenants be disclosed in the notes to the financial statements.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7, </w:t>
      </w:r>
      <w:r>
        <w:rPr>
          <w:rFonts w:ascii="Times New Roman" w:cs="Times New Roman" w:eastAsia="Times New Roman" w:hAnsi="Times New Roman"/>
          <w:sz w:val="18"/>
          <w:szCs w:val="18"/>
          <w:b w:val="1"/>
          <w:bCs w:val="1"/>
          <w:i w:val="1"/>
          <w:iCs w:val="1"/>
          <w:color w:val="auto"/>
        </w:rPr>
        <w:t>Statement of Cash Flows</w:t>
      </w:r>
      <w:r>
        <w:rPr>
          <w:rFonts w:ascii="Times New Roman" w:cs="Times New Roman" w:eastAsia="Times New Roman" w:hAnsi="Times New Roman"/>
          <w:sz w:val="18"/>
          <w:szCs w:val="18"/>
          <w:b w:val="1"/>
          <w:bCs w:val="1"/>
          <w:color w:val="auto"/>
        </w:rPr>
        <w:t xml:space="preserve"> (“IAS 7”) and IFRS 7, </w:t>
      </w:r>
      <w:r>
        <w:rPr>
          <w:rFonts w:ascii="Times New Roman" w:cs="Times New Roman" w:eastAsia="Times New Roman" w:hAnsi="Times New Roman"/>
          <w:sz w:val="18"/>
          <w:szCs w:val="18"/>
          <w:b w:val="1"/>
          <w:bCs w:val="1"/>
          <w:i w:val="1"/>
          <w:iCs w:val="1"/>
          <w:color w:val="auto"/>
        </w:rPr>
        <w:t>Financial Instruments: Disclosures</w:t>
      </w:r>
      <w:r>
        <w:rPr>
          <w:rFonts w:ascii="Times New Roman" w:cs="Times New Roman" w:eastAsia="Times New Roman" w:hAnsi="Times New Roman"/>
          <w:sz w:val="18"/>
          <w:szCs w:val="18"/>
          <w:b w:val="1"/>
          <w:bCs w:val="1"/>
          <w:color w:val="auto"/>
        </w:rPr>
        <w:t xml:space="preserve"> (“IFRS 7”)</w:t>
      </w:r>
    </w:p>
    <w:p>
      <w:pPr>
        <w:spacing w:after="0" w:line="31"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Amendments to IAS 7 and IFRS 7 introduce disclosure requirements to enhance the transparency of supplier finance arrangements and their effects on an entity’s liabilities, cash flows and exposure to liquidity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by the Company of the amendments listed above did not have a significant impact on the Company’s Financial Statements.</w:t>
      </w:r>
    </w:p>
    <w:p>
      <w:pPr>
        <w:spacing w:after="0" w:line="22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and standard issued to be adopted at a later date</w:t>
      </w:r>
    </w:p>
    <w:p>
      <w:pPr>
        <w:spacing w:after="0" w:line="227" w:lineRule="exact"/>
        <w:rPr>
          <w:sz w:val="20"/>
          <w:szCs w:val="20"/>
          <w:color w:val="auto"/>
        </w:rPr>
      </w:pPr>
    </w:p>
    <w:p>
      <w:pPr>
        <w:ind w:left="20" w:hanging="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amendments to existing standards have been issued and are applicable to the Company for its annual period beginning on January 1, 2025, with an earlier application permitted: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21, </w:t>
      </w:r>
      <w:r>
        <w:rPr>
          <w:rFonts w:ascii="Times New Roman" w:cs="Times New Roman" w:eastAsia="Times New Roman" w:hAnsi="Times New Roman"/>
          <w:sz w:val="18"/>
          <w:szCs w:val="18"/>
          <w:b w:val="1"/>
          <w:bCs w:val="1"/>
          <w:i w:val="1"/>
          <w:iCs w:val="1"/>
          <w:color w:val="auto"/>
        </w:rPr>
        <w:t>The Effects of Changes in Foreign Exchange Rates</w:t>
      </w:r>
      <w:r>
        <w:rPr>
          <w:rFonts w:ascii="Times New Roman" w:cs="Times New Roman" w:eastAsia="Times New Roman" w:hAnsi="Times New Roman"/>
          <w:sz w:val="18"/>
          <w:szCs w:val="18"/>
          <w:b w:val="1"/>
          <w:bCs w:val="1"/>
          <w:color w:val="auto"/>
        </w:rPr>
        <w:t xml:space="preserve"> (“IAS 21”)</w:t>
      </w:r>
    </w:p>
    <w:p>
      <w:pPr>
        <w:spacing w:after="0" w:line="31"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Amendments to IAS 21 require an entity to apply a consistent approach in assessing whether a currency can be exchanged into another currency and, when it cannot, in determining the exchange rate to use and the disclosures to provide.</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10  Page</w:t>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accounting amendments and standard issued to be adopted at a later date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jc w:val="both"/>
        <w:ind w:left="20" w:hanging="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amendments to existing standards have been issued and are applicable to the Company for its annual period beginning on January 1, 2026, with an earlier application permitted: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9, </w:t>
      </w:r>
      <w:r>
        <w:rPr>
          <w:rFonts w:ascii="Times New Roman" w:cs="Times New Roman" w:eastAsia="Times New Roman" w:hAnsi="Times New Roman"/>
          <w:sz w:val="18"/>
          <w:szCs w:val="18"/>
          <w:b w:val="1"/>
          <w:bCs w:val="1"/>
          <w:i w:val="1"/>
          <w:iCs w:val="1"/>
          <w:color w:val="auto"/>
        </w:rPr>
        <w:t>Financial Instruments</w:t>
      </w:r>
      <w:r>
        <w:rPr>
          <w:rFonts w:ascii="Times New Roman" w:cs="Times New Roman" w:eastAsia="Times New Roman" w:hAnsi="Times New Roman"/>
          <w:sz w:val="18"/>
          <w:szCs w:val="18"/>
          <w:b w:val="1"/>
          <w:bCs w:val="1"/>
          <w:color w:val="auto"/>
        </w:rPr>
        <w:t xml:space="preserve"> (“IFRS 9”) and IFRS 7</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Amendments to IFRS 9 and IFRS 7 clarify that financial assets and financial liabilities are recognized and derecognized at settlement date except for regular way purchases or sales of financial assets and financial liabilities meeting conditions for the new exception. The new exception permits companies to elect to derecognize certain financial liabilities settled via electronic payment systems earlier than the settlement date.</w:t>
      </w:r>
    </w:p>
    <w:p>
      <w:pPr>
        <w:spacing w:after="0" w:line="18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These amendments also provide guidelines to assess contractual cash flow characteristics of financial assets, which apply to all contingent cash flows, including those arising from environmental, social, and governance (ESG)-linked features.</w:t>
      </w:r>
    </w:p>
    <w:p>
      <w:pPr>
        <w:spacing w:after="0" w:line="16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In addition, the amendments for investments in equity instruments reported at fair value through other comprehensive income require separately disclosing the fair value gain or loss for investments derecognized in the period and investments held. The amendments added disclosure requirements for financial instruments with contingent features that could change the timing or amount of contractual cash flows that do not relate directly to basic lending risks and costs.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Financial Statements.</w:t>
      </w:r>
    </w:p>
    <w:p>
      <w:pPr>
        <w:spacing w:after="0" w:line="223" w:lineRule="exact"/>
        <w:rPr>
          <w:sz w:val="20"/>
          <w:szCs w:val="20"/>
          <w:color w:val="auto"/>
        </w:rPr>
      </w:pPr>
    </w:p>
    <w:p>
      <w:pPr>
        <w:jc w:val="both"/>
        <w:ind w:left="20" w:hanging="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new standard has been issued and is applicable to the Company for its annual period beginning on January 1, 2027, with an earlier application permitted: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IFRS 18, </w:t>
      </w:r>
      <w:r>
        <w:rPr>
          <w:rFonts w:ascii="Times New Roman" w:cs="Times New Roman" w:eastAsia="Times New Roman" w:hAnsi="Times New Roman"/>
          <w:sz w:val="18"/>
          <w:szCs w:val="18"/>
          <w:b w:val="1"/>
          <w:bCs w:val="1"/>
          <w:i w:val="1"/>
          <w:iCs w:val="1"/>
          <w:color w:val="auto"/>
        </w:rPr>
        <w:t>Presentation and Disclosure in Financial Statements</w:t>
      </w:r>
      <w:r>
        <w:rPr>
          <w:rFonts w:ascii="Times New Roman" w:cs="Times New Roman" w:eastAsia="Times New Roman" w:hAnsi="Times New Roman"/>
          <w:sz w:val="18"/>
          <w:szCs w:val="18"/>
          <w:b w:val="1"/>
          <w:bCs w:val="1"/>
          <w:color w:val="auto"/>
        </w:rPr>
        <w:t xml:space="preserve"> (“IFRS 18”)</w:t>
      </w:r>
    </w:p>
    <w:p>
      <w:pPr>
        <w:spacing w:after="0" w:line="31" w:lineRule="exact"/>
        <w:rPr>
          <w:sz w:val="20"/>
          <w:szCs w:val="20"/>
          <w:color w:val="auto"/>
        </w:rPr>
      </w:pPr>
    </w:p>
    <w:p>
      <w:pPr>
        <w:jc w:val="both"/>
        <w:ind w:left="20" w:hanging="4"/>
        <w:spacing w:after="0" w:line="250" w:lineRule="auto"/>
        <w:rPr>
          <w:sz w:val="20"/>
          <w:szCs w:val="20"/>
          <w:color w:val="auto"/>
        </w:rPr>
      </w:pPr>
      <w:r>
        <w:rPr>
          <w:rFonts w:ascii="Times New Roman" w:cs="Times New Roman" w:eastAsia="Times New Roman" w:hAnsi="Times New Roman"/>
          <w:sz w:val="18"/>
          <w:szCs w:val="18"/>
          <w:color w:val="auto"/>
        </w:rPr>
        <w:t>On April 9, 2024, the International Accounting Standards Board issued IFRS 18, the new standard on presentation and disclosure in financial statements, which will replace IAS 1, with a focus on updates to the statement of profit or loss. The key new concepts introduced in IFRS 18 relate to:</w:t>
      </w:r>
    </w:p>
    <w:p>
      <w:pPr>
        <w:spacing w:after="0" w:line="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statement of profit or loss, including specified totals and subtotals;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disclosures in the financial statements for certain profit or loss performance measures that are reported outside an entity’s financial statements (i.e., management-defined performance measures);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principles on aggregation and disaggregation which apply to the primary financial statements and notes in general.</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new standard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11  Page</w:t>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identified errors in its accounting for warrants issued in connection with certain private placement financings in 2021. The warrants and broker warrants are convertible for a fixed number of common shares of the Company but have a contingent cashless exercise clause which results in a classification of the warrants and broker warrants as a financial liability and measurement of such warrants at fair value through profit or loss, not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restatement on the affected financial statement line items for the prior period are as follows:</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Interim consolidated statements of profit or loss and comprehensive profit or loss extract for the three and nine months ended September 30, 2023 - Restatement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9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9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44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color w:val="auto"/>
              </w:rPr>
              <w:t>Warrant</w:t>
            </w:r>
          </w:p>
        </w:tc>
        <w:tc>
          <w:tcPr>
            <w:tcW w:w="11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600" w:type="dxa"/>
            <w:vAlign w:val="bottom"/>
          </w:tcPr>
          <w:p>
            <w:pPr>
              <w:ind w:left="56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44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color w:val="auto"/>
              </w:rPr>
              <w:t>Warrant</w:t>
            </w:r>
          </w:p>
        </w:tc>
        <w:tc>
          <w:tcPr>
            <w:tcW w:w="94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2023 (as</w:t>
            </w:r>
          </w:p>
        </w:tc>
        <w:tc>
          <w:tcPr>
            <w:tcW w:w="0" w:type="dxa"/>
            <w:vAlign w:val="bottom"/>
          </w:tcPr>
          <w:p>
            <w:pPr>
              <w:spacing w:after="0"/>
              <w:rPr>
                <w:sz w:val="1"/>
                <w:szCs w:val="1"/>
                <w:color w:val="auto"/>
              </w:rPr>
            </w:pPr>
          </w:p>
        </w:tc>
      </w:tr>
      <w:tr>
        <w:trPr>
          <w:trHeight w:val="238"/>
        </w:trPr>
        <w:tc>
          <w:tcPr>
            <w:tcW w:w="3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reported)</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adjustments</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restated)</w:t>
            </w:r>
          </w:p>
        </w:tc>
        <w:tc>
          <w:tcPr>
            <w:tcW w:w="16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reported)</w:t>
            </w: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adjustments</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(18,638)</w:t>
            </w:r>
          </w:p>
        </w:tc>
        <w:tc>
          <w:tcPr>
            <w:tcW w:w="1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(18,638)</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(59,392)</w:t>
            </w:r>
          </w:p>
        </w:tc>
        <w:tc>
          <w:tcPr>
            <w:tcW w:w="14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(59,392)</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336</w:t>
            </w:r>
          </w:p>
        </w:tc>
        <w:tc>
          <w:tcPr>
            <w:tcW w:w="1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2,196</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2,532</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12,706</w:t>
            </w: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12,492</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(18,302)</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2,196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(16,106)</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(46,686)</w:t>
            </w:r>
          </w:p>
        </w:tc>
        <w:tc>
          <w:tcPr>
            <w:tcW w:w="14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(46,900)</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(401)</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(18,703)</w:t>
            </w:r>
          </w:p>
        </w:tc>
        <w:tc>
          <w:tcPr>
            <w:tcW w:w="1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2,196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(16,507)</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(46,663)</w:t>
            </w: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(46,877)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Item that will not be reclassified to profit</w:t>
            </w: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or loss:</w:t>
            </w:r>
          </w:p>
        </w:tc>
        <w:tc>
          <w:tcPr>
            <w:tcW w:w="9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9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16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1,567</w:t>
            </w:r>
          </w:p>
        </w:tc>
        <w:tc>
          <w:tcPr>
            <w:tcW w:w="0" w:type="dxa"/>
            <w:vAlign w:val="bottom"/>
          </w:tcPr>
          <w:p>
            <w:pPr>
              <w:spacing w:after="0"/>
              <w:rPr>
                <w:sz w:val="1"/>
                <w:szCs w:val="1"/>
                <w:color w:val="auto"/>
              </w:rPr>
            </w:pPr>
          </w:p>
        </w:tc>
      </w:tr>
      <w:tr>
        <w:trPr>
          <w:trHeight w:val="234"/>
        </w:trPr>
        <w:tc>
          <w:tcPr>
            <w:tcW w:w="3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(824)</w:t>
            </w:r>
          </w:p>
        </w:tc>
        <w:tc>
          <w:tcPr>
            <w:tcW w:w="1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1,567</w:t>
            </w:r>
          </w:p>
        </w:tc>
        <w:tc>
          <w:tcPr>
            <w:tcW w:w="14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(19,527)</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2,196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(17,331)</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(45,096)</w:t>
            </w:r>
          </w:p>
        </w:tc>
        <w:tc>
          <w:tcPr>
            <w:tcW w:w="14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(45,310)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(0.07)</w:t>
            </w:r>
          </w:p>
        </w:tc>
        <w:tc>
          <w:tcPr>
            <w:tcW w:w="1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0.01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(0.19)</w:t>
            </w:r>
          </w:p>
        </w:tc>
        <w:tc>
          <w:tcPr>
            <w:tcW w:w="14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(0.19)</w:t>
            </w:r>
          </w:p>
        </w:tc>
        <w:tc>
          <w:tcPr>
            <w:tcW w:w="0" w:type="dxa"/>
            <w:vAlign w:val="bottom"/>
          </w:tcPr>
          <w:p>
            <w:pPr>
              <w:spacing w:after="0"/>
              <w:rPr>
                <w:sz w:val="1"/>
                <w:szCs w:val="1"/>
                <w:color w:val="auto"/>
              </w:rPr>
            </w:pPr>
          </w:p>
        </w:tc>
      </w:tr>
      <w:tr>
        <w:trPr>
          <w:trHeight w:val="432"/>
        </w:trPr>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 extract for the nine months ended September 30, 2023 - Restatement</w:t>
            </w: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2023 (as reported)   Warrant adjustments   </w:t>
            </w:r>
            <w:r>
              <w:rPr>
                <w:rFonts w:ascii="Times New Roman" w:cs="Times New Roman" w:eastAsia="Times New Roman" w:hAnsi="Times New Roman"/>
                <w:sz w:val="18"/>
                <w:szCs w:val="18"/>
                <w:b w:val="1"/>
                <w:bCs w:val="1"/>
                <w:color w:val="auto"/>
              </w:rPr>
              <w:t>2023 (as restated)</w:t>
            </w:r>
          </w:p>
        </w:tc>
        <w:tc>
          <w:tcPr>
            <w:tcW w:w="0" w:type="dxa"/>
            <w:vAlign w:val="bottom"/>
          </w:tcPr>
          <w:p>
            <w:pPr>
              <w:spacing w:after="0"/>
              <w:rPr>
                <w:sz w:val="1"/>
                <w:szCs w:val="1"/>
                <w:color w:val="auto"/>
              </w:rPr>
            </w:pPr>
          </w:p>
        </w:tc>
      </w:tr>
      <w:tr>
        <w:trPr>
          <w:trHeight w:val="425"/>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(46,663)</w:t>
            </w:r>
          </w:p>
        </w:tc>
        <w:tc>
          <w:tcPr>
            <w:tcW w:w="14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(46,877)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9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(12,706)</w:t>
            </w:r>
          </w:p>
        </w:tc>
        <w:tc>
          <w:tcPr>
            <w:tcW w:w="14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(12,492)</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Net change in cash related to operating activities</w:t>
            </w:r>
          </w:p>
        </w:tc>
        <w:tc>
          <w:tcPr>
            <w:tcW w:w="9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10,028</w:t>
            </w: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12  Page</w:t>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SIGNIFICANT ACCOUNTING JUDGMENTS AND ESTIMATES</w:t>
      </w:r>
    </w:p>
    <w:p>
      <w:pPr>
        <w:spacing w:after="0" w:line="22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requires Bitfarms’ management team (“Management”) to undertake judgments, estimates and assumptions about recognition and measurement of assets, liabilities, income and expenses. These estimates and judgments are based on Management’s best knowledge of the events or circumstances and actions the Company may take in the future. The actual results may differ from these assumptions and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 significant judgements made by Management in applying the Company’s accounting policies and the key sources of estimation uncertainty were the same as those described in the audited annual consolidated financial statements for year ended December 31, 2023, except for the following:</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Estimates of useful lives, residual values and methods of depreciation are reviewed annually. Any changes based on additional available information are accounted for prospectively as a change in accounting estimate.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in connection with the replacement of older Miners following the Company’s transformative fleet upgrade as described in Note 10 - Property, Plant and Equipment, the Company reviewed and adjusted the useful lives, residual values and method of depreciation of older Miners that will be replaced by the new fleet in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these Miners, the depreciation was accelerated to bring the book value to the estimated recoverable value at the time they are expected to be replaced. The residual values were adjusted to reflect the expected proceeds from the eventual sale and the depreciation method was modified from sum-of-years to straight-line method.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OTHER ASSETS</w:t>
            </w:r>
          </w:p>
        </w:tc>
        <w:tc>
          <w:tcPr>
            <w:tcW w:w="45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receivable*</w:t>
            </w:r>
          </w:p>
        </w:tc>
        <w:tc>
          <w:tcPr>
            <w:tcW w:w="4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10,847</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4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593</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auto"/>
            </w:tcBorders>
            <w:shd w:val="clear" w:color="auto" w:fill="CCEEFF"/>
          </w:tcPr>
          <w:p>
            <w:pPr>
              <w:spacing w:after="0"/>
              <w:rPr>
                <w:sz w:val="18"/>
                <w:szCs w:val="18"/>
                <w:color w:val="auto"/>
              </w:rPr>
            </w:pPr>
          </w:p>
        </w:tc>
        <w:tc>
          <w:tcPr>
            <w:tcW w:w="4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11,440</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right"/>
        <w:ind w:left="10340" w:right="260" w:hanging="10332"/>
        <w:spacing w:after="0" w:line="909" w:lineRule="auto"/>
        <w:tabs>
          <w:tab w:leader="none" w:pos="33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to Note 23d for more details about the provision applied to the Argentine value-added tax (VAT) receivable included in sales taxes receivable. 13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BTC transactions and the corresponding values for the three and nine months ended September 30, 2024 and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Quantity</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 July</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16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56,748</w:t>
            </w:r>
          </w:p>
        </w:tc>
        <w:tc>
          <w:tcPr>
            <w:tcW w:w="1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549</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16,734</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42,838</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1,172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32,899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cash and services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1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(27,938)</w:t>
            </w:r>
          </w:p>
        </w:tc>
        <w:tc>
          <w:tcPr>
            <w:tcW w:w="13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(1,018)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(loss) on disposition of digital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769</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 (loss) on revaluation of digital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212</w:t>
            </w: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187"/>
        </w:trPr>
        <w:tc>
          <w:tcPr>
            <w:tcW w:w="60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including digital assets pledged as collateral as of</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72,629</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703</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18,975</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September 30,***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187"/>
        </w:trPr>
        <w:tc>
          <w:tcPr>
            <w:tcW w:w="60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72,629</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623</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16,809</w:t>
            </w:r>
          </w:p>
        </w:tc>
        <w:tc>
          <w:tcPr>
            <w:tcW w:w="0" w:type="dxa"/>
            <w:vAlign w:val="bottom"/>
          </w:tcPr>
          <w:p>
            <w:pPr>
              <w:spacing w:after="0"/>
              <w:rPr>
                <w:sz w:val="1"/>
                <w:szCs w:val="1"/>
                <w:color w:val="auto"/>
              </w:rPr>
            </w:pPr>
          </w:p>
        </w:tc>
      </w:tr>
      <w:tr>
        <w:trPr>
          <w:trHeight w:val="432"/>
        </w:trPr>
        <w:tc>
          <w:tcPr>
            <w:tcW w:w="6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Quantity</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91"/>
        </w:trPr>
        <w:tc>
          <w:tcPr>
            <w:tcW w:w="60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c>
          <w:tcPr>
            <w:tcW w:w="16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33,971</w:t>
            </w:r>
          </w:p>
        </w:tc>
        <w:tc>
          <w:tcPr>
            <w:tcW w:w="1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405</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2,260</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132,644</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3,692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96,350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cash and services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(1,917)</w:t>
            </w:r>
          </w:p>
        </w:tc>
        <w:tc>
          <w:tcPr>
            <w:tcW w:w="1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(111,264)</w:t>
            </w:r>
          </w:p>
        </w:tc>
        <w:tc>
          <w:tcPr>
            <w:tcW w:w="13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(3,394)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17,635</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 (loss) on revaluation of digital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(357)</w:t>
            </w: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187"/>
        </w:trPr>
        <w:tc>
          <w:tcPr>
            <w:tcW w:w="60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including digital assets pledged as collateral as of</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72,629</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703</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18,975</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September 30,***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187"/>
        </w:trPr>
        <w:tc>
          <w:tcPr>
            <w:tcW w:w="60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72,629</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623</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16,809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8"/>
        <w:spacing w:after="0" w:line="282" w:lineRule="auto"/>
        <w:tabs>
          <w:tab w:leader="none" w:pos="1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estimates the fair value of BTC earned on a daily basis as the quantity of cryptocurrency received multiplied by the price quoted on Coinbase on the day it was received. Management considers the prices quoted on Coinbase to be a level 2 input under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8"/>
        <w:spacing w:after="0" w:line="258" w:lineRule="auto"/>
        <w:tabs>
          <w:tab w:leader="none" w:pos="2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realized gain on disposition of digital assets and the change in unrealized gain on revaluation of digital assets is presented in other comprehensive income after reversing previously recorded revaluation loss on digital assets in the statement of profit or loss. For the three and nine months ended September 30, 2024, a gain of $721, net of $260 of deferred income tax expense, and a gain of $12,699, net of $4,579 of deferred income tax expense, respectively, were presented in other comprehensive income (three and nine months ended September 30, 2023: loss of $824, net of $297 of deferred income tax recovery, and a gain of $1,567, net of $565 of deferred income tax expense, respectively).</w:t>
      </w:r>
    </w:p>
    <w:p>
      <w:pPr>
        <w:spacing w:after="0" w:line="183" w:lineRule="exact"/>
        <w:rPr>
          <w:rFonts w:ascii="Times New Roman" w:cs="Times New Roman" w:eastAsia="Times New Roman" w:hAnsi="Times New Roman"/>
          <w:sz w:val="18"/>
          <w:szCs w:val="18"/>
          <w:color w:val="auto"/>
        </w:rPr>
      </w:pPr>
    </w:p>
    <w:p>
      <w:pPr>
        <w:ind w:firstLine="8"/>
        <w:spacing w:after="0" w:line="282" w:lineRule="auto"/>
        <w:tabs>
          <w:tab w:leader="none" w:pos="3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15 for details of the Company’s long-term debt and BTC pledged as collateral. During the first quarter of 2024, the NYDIG Loan balance was fully repaid and the BTC previously pledged as collateral thereunder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14  Page</w:t>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DERIVATIVE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contracts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Starting in the first quarter of 2023, the Company purchased BTC option contracts that gave it the right, but not the obligation, to sell digital assets at a fixed price. Option contracts are used to reduce the risk of BTC price volatility and reduce the variability of cash flows resulting from future sales of digital assets. The Company did not apply hedge accounting to these contracts.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the fair value measurement of derivatives (Level 2):</w:t>
            </w:r>
          </w:p>
        </w:tc>
        <w:tc>
          <w:tcPr>
            <w:tcW w:w="1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59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4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5900" w:type="dxa"/>
            <w:vAlign w:val="bottom"/>
          </w:tcPr>
          <w:p>
            <w:pPr>
              <w:spacing w:after="0"/>
              <w:rPr>
                <w:sz w:val="16"/>
                <w:szCs w:val="16"/>
                <w:color w:val="auto"/>
              </w:rPr>
            </w:pPr>
          </w:p>
        </w:tc>
        <w:tc>
          <w:tcPr>
            <w:tcW w:w="15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38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2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color w:val="auto"/>
              </w:rPr>
              <w:t>Derivative</w:t>
            </w:r>
          </w:p>
        </w:tc>
        <w:tc>
          <w:tcPr>
            <w:tcW w:w="118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Derivative</w:t>
            </w:r>
          </w:p>
        </w:tc>
      </w:tr>
      <w:tr>
        <w:trPr>
          <w:trHeight w:val="238"/>
        </w:trPr>
        <w:tc>
          <w:tcPr>
            <w:tcW w:w="5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Liabilities</w:t>
            </w:r>
          </w:p>
        </w:tc>
      </w:tr>
      <w:tr>
        <w:trPr>
          <w:trHeight w:val="209"/>
        </w:trPr>
        <w:tc>
          <w:tcPr>
            <w:tcW w:w="5900" w:type="dxa"/>
            <w:vAlign w:val="bottom"/>
          </w:tcPr>
          <w:p>
            <w:pPr>
              <w:spacing w:after="0"/>
              <w:rPr>
                <w:sz w:val="18"/>
                <w:szCs w:val="18"/>
                <w:color w:val="auto"/>
              </w:rPr>
            </w:pPr>
          </w:p>
        </w:tc>
        <w:tc>
          <w:tcPr>
            <w:tcW w:w="28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nine-month period</w:t>
            </w:r>
          </w:p>
        </w:tc>
        <w:tc>
          <w:tcPr>
            <w:tcW w:w="2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twelve-month period</w:t>
            </w:r>
          </w:p>
        </w:tc>
      </w:tr>
      <w:tr>
        <w:trPr>
          <w:trHeight w:val="216"/>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1,281</w:t>
            </w: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recognized in statement of profit or loss during the period</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628</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(351)</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10,320</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351</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1,253</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5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(5,233)</w:t>
            </w: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7"/>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6,996</w:t>
            </w: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1,281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gain or loss on derivatives are recognized in Net financial income in the interim consolidated statements of profit or loss and comprehensive profit or loss:</w:t>
      </w:r>
    </w:p>
    <w:tbl>
      <w:tblPr>
        <w:tblLayout w:type="fixed"/>
        <w:tblInd w:w="0" w:type="dxa"/>
        <w:tblCellMar>
          <w:top w:w="0" w:type="dxa"/>
          <w:left w:w="0" w:type="dxa"/>
          <w:bottom w:w="0" w:type="dxa"/>
          <w:right w:w="0" w:type="dxa"/>
        </w:tblCellMar>
      </w:tblPr>
      <w:tr>
        <w:trPr>
          <w:trHeight w:val="194"/>
        </w:trPr>
        <w:tc>
          <w:tcPr>
            <w:tcW w:w="5220" w:type="dxa"/>
            <w:vAlign w:val="bottom"/>
          </w:tcPr>
          <w:p>
            <w:pPr>
              <w:spacing w:after="0"/>
              <w:rPr>
                <w:sz w:val="16"/>
                <w:szCs w:val="16"/>
                <w:color w:val="auto"/>
              </w:rPr>
            </w:pPr>
          </w:p>
        </w:tc>
        <w:tc>
          <w:tcPr>
            <w:tcW w:w="28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Pr>
          <w:p>
            <w:pPr>
              <w:spacing w:after="0"/>
              <w:rPr>
                <w:sz w:val="16"/>
                <w:szCs w:val="16"/>
                <w:color w:val="auto"/>
              </w:rPr>
            </w:pPr>
          </w:p>
        </w:tc>
        <w:tc>
          <w:tcPr>
            <w:tcW w:w="1820" w:type="dxa"/>
            <w:vAlign w:val="bottom"/>
            <w:gridSpan w:val="2"/>
          </w:tcPr>
          <w:p>
            <w:pPr>
              <w:jc w:val="center"/>
              <w:ind w:left="2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00" w:type="dxa"/>
            <w:vAlign w:val="bottom"/>
          </w:tcPr>
          <w:p>
            <w:pPr>
              <w:spacing w:after="0"/>
              <w:rPr>
                <w:sz w:val="16"/>
                <w:szCs w:val="16"/>
                <w:color w:val="auto"/>
              </w:rPr>
            </w:pPr>
          </w:p>
        </w:tc>
      </w:tr>
      <w:tr>
        <w:trPr>
          <w:trHeight w:val="238"/>
        </w:trPr>
        <w:tc>
          <w:tcPr>
            <w:tcW w:w="5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0" w:type="dxa"/>
            <w:vAlign w:val="bottom"/>
            <w:tcBorders>
              <w:bottom w:val="single" w:sz="8" w:color="auto"/>
            </w:tcBorders>
          </w:tcPr>
          <w:p>
            <w:pPr>
              <w:spacing w:after="0"/>
              <w:rPr>
                <w:sz w:val="20"/>
                <w:szCs w:val="20"/>
                <w:color w:val="auto"/>
              </w:rPr>
            </w:pPr>
          </w:p>
        </w:tc>
      </w:tr>
      <w:tr>
        <w:trPr>
          <w:trHeight w:val="210"/>
        </w:trPr>
        <w:tc>
          <w:tcPr>
            <w:tcW w:w="5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 of outstanding contracts</w:t>
            </w:r>
          </w:p>
        </w:tc>
        <w:tc>
          <w:tcPr>
            <w:tcW w:w="284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(732)</w:t>
            </w: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right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(1,028)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gain (loss) on settled contracts</w:t>
            </w:r>
          </w:p>
        </w:tc>
        <w:tc>
          <w:tcPr>
            <w:tcW w:w="2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654</w:t>
            </w: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1,305</w:t>
            </w: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522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(78)</w:t>
            </w: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right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277</w:t>
            </w:r>
          </w:p>
        </w:tc>
        <w:tc>
          <w:tcPr>
            <w:tcW w:w="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439"/>
        </w:trPr>
        <w:tc>
          <w:tcPr>
            <w:tcW w:w="5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256"/>
        </w:trPr>
        <w:tc>
          <w:tcPr>
            <w:tcW w:w="52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2"/>
                <w:szCs w:val="22"/>
                <w:color w:val="auto"/>
              </w:rPr>
            </w:pP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1"/>
              </w:rPr>
              <w:t>Page</w:t>
            </w: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8"/>
          <w:szCs w:val="18"/>
          <w:b w:val="1"/>
          <w:bCs w:val="1"/>
          <w:color w:val="auto"/>
        </w:rPr>
        <w:t>ASSETS HELD FOR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assets held for sale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Notes</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i.</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5,706</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2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Mining electrical components</w:t>
            </w: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401</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867</w:t>
            </w:r>
          </w:p>
        </w:tc>
      </w:tr>
      <w:tr>
        <w:trPr>
          <w:trHeight w:val="217"/>
        </w:trPr>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6,107</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r>
      <w:tr>
        <w:trPr>
          <w:trHeight w:val="414"/>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25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Miners held of sale</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4"/>
        </w:trPr>
        <w:tc>
          <w:tcPr>
            <w:tcW w:w="5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the movement of Miners held for sale:</w:t>
            </w: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0"/>
        </w:trPr>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2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Innosilicon T2T &amp; T3,</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20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Canaan Avalon A10</w:t>
            </w:r>
          </w:p>
        </w:tc>
        <w:tc>
          <w:tcPr>
            <w:tcW w:w="82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M30, M31 &amp; M50</w:t>
            </w:r>
          </w:p>
        </w:tc>
        <w:tc>
          <w:tcPr>
            <w:tcW w:w="2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and Antminer T15 &amp;</w:t>
            </w:r>
          </w:p>
        </w:tc>
        <w:tc>
          <w:tcPr>
            <w:tcW w:w="21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7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Bitmain S19j Pro</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9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S15 Miners</w:t>
            </w:r>
          </w:p>
        </w:tc>
        <w:tc>
          <w:tcPr>
            <w:tcW w:w="21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M20S Miners</w:t>
            </w: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bottom w:val="single" w:sz="8" w:color="auto"/>
            </w:tcBorders>
          </w:tcPr>
          <w:p>
            <w:pPr>
              <w:spacing w:after="0"/>
              <w:rPr>
                <w:sz w:val="20"/>
                <w:szCs w:val="20"/>
                <w:color w:val="auto"/>
              </w:rPr>
            </w:pPr>
          </w:p>
        </w:tc>
      </w:tr>
      <w:tr>
        <w:trPr>
          <w:trHeight w:val="210"/>
        </w:trPr>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Qty</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Qty</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Qty</w:t>
            </w: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Qty</w:t>
            </w: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Qty</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91"/>
        </w:trPr>
        <w:tc>
          <w:tcPr>
            <w:tcW w:w="18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as of January</w:t>
            </w: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34"/>
        </w:trPr>
        <w:tc>
          <w:tcPr>
            <w:tcW w:w="14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1, 2023</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190</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2,512</w:t>
            </w:r>
          </w:p>
        </w:tc>
        <w:tc>
          <w:tcPr>
            <w:tcW w:w="13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1,030</w:t>
            </w: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3,784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10"/>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198</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300</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205</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2,148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(714)</w:t>
            </w:r>
          </w:p>
        </w:tc>
        <w:tc>
          <w:tcPr>
            <w:tcW w:w="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(1,781)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(3,120)</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187"/>
        </w:trPr>
        <w:tc>
          <w:tcPr>
            <w:tcW w:w="18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38"/>
        </w:trPr>
        <w:tc>
          <w:tcPr>
            <w:tcW w:w="14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731</w:t>
            </w:r>
          </w:p>
        </w:tc>
        <w:tc>
          <w:tcPr>
            <w:tcW w:w="13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316</w:t>
            </w: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300</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205</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1,031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r>
      <w:tr>
        <w:trPr>
          <w:trHeight w:val="210"/>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38,579</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7,990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8,395</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2,409</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46,974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10,399</w:t>
            </w:r>
          </w:p>
        </w:tc>
      </w:tr>
      <w:tr>
        <w:trPr>
          <w:trHeight w:val="216"/>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(108)</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(300)</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(205)</w:t>
            </w:r>
          </w:p>
        </w:tc>
        <w:tc>
          <w:tcPr>
            <w:tcW w:w="10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(6,318)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r>
      <w:tr>
        <w:trPr>
          <w:trHeight w:val="216"/>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(208)</w:t>
            </w: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(300)</w:t>
            </w: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(473)</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(3,628)</w:t>
            </w:r>
          </w:p>
        </w:tc>
      </w:tr>
      <w:tr>
        <w:trPr>
          <w:trHeight w:val="187"/>
        </w:trPr>
        <w:tc>
          <w:tcPr>
            <w:tcW w:w="18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16"/>
        </w:trPr>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45"/>
        </w:trPr>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32,819</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3,597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8,395</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2,109</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41,214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5,706</w:t>
            </w:r>
          </w:p>
        </w:tc>
      </w:tr>
    </w:tbl>
    <w:p>
      <w:pPr>
        <w:spacing w:after="0" w:line="19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S19j Pro Bitmain Miners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During the second quarter of 2024, the Company ceased using 2,609 Bitmain S19j Pro Miners and plans to dispose of them within the next 12 months.</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During the third quarter of 2024, the Company ceased using 5,786 Bitmain S19j Pro Miners and plans to dispose of them within the next 12 months.</w:t>
      </w:r>
    </w:p>
    <w:p>
      <w:pPr>
        <w:spacing w:after="0" w:line="225"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300 Bitmain S19j Pro Miners with a carrying amount of $205 and disposed of them for net proceeds of $205 resulting in no gain or loss.</w:t>
      </w:r>
    </w:p>
    <w:p>
      <w:pPr>
        <w:spacing w:after="0" w:line="162"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reassessed the fair value less costs to sell of the Bitmain S19j Pro Miners and recognized an impairment loss of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16  Page</w:t>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 xml:space="preserve">ASSETS HELD FOR SALE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Miners held of sale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MicroBT WhatsMiner M30, M31 and M50 Miners</w:t>
      </w:r>
    </w:p>
    <w:p>
      <w:pPr>
        <w:spacing w:after="0" w:line="9"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During the first quarter of 2024, the company ceased using 2,775 MicroBT WhatsMiner M30 Miners and 4,921 MicroBT WhatsMiner M31 Miners and plans to dispose of them within the next 12 months.</w:t>
      </w:r>
    </w:p>
    <w:p>
      <w:pPr>
        <w:spacing w:after="0" w:line="181" w:lineRule="exact"/>
        <w:rPr>
          <w:sz w:val="20"/>
          <w:szCs w:val="20"/>
          <w:color w:val="auto"/>
        </w:rPr>
      </w:pPr>
    </w:p>
    <w:p>
      <w:pPr>
        <w:ind w:left="20" w:right="20" w:hanging="4"/>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ceased using 22,956 MicroBT WhatsMiner M30 Miners, 7,118 MicroBT WhatsMiner M31 Miners and 532 MicroBt WhatsMiner M50 Miners and plans to dispose of them within the next 12 months.</w:t>
      </w:r>
    </w:p>
    <w:p>
      <w:pPr>
        <w:spacing w:after="0" w:line="162"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the company ceased using 277 MicroBT WhatsMiner M30 Miners and plans to dispose of them within the next 12 months.</w:t>
      </w:r>
    </w:p>
    <w:p>
      <w:pPr>
        <w:spacing w:after="0" w:line="162"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an aggregate 5,760 MicroBT WhatsMiner M30 and M31 Miners with a carrying amount of $1,273 and disposed of them for net proceeds of $1,338 resulting in a gain of $65.</w:t>
      </w:r>
    </w:p>
    <w:p>
      <w:pPr>
        <w:spacing w:after="0" w:line="162"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reassessed the fair value less costs to sell of the MicroBT WhatsMiner M30, M31 and M50 Miners and recognized an impairment loss of $3,120.</w:t>
      </w:r>
    </w:p>
    <w:p>
      <w:pPr>
        <w:spacing w:after="0" w:line="16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MicroBT WhatsMiner M20S Miners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258 MicroBT WhatsMiner M20S Miners with a carrying amount of $108 and disposed of them for net proceeds of $34 resulting in a loss of $74. Management determined that the remaining MicroBT WhatsMiner M20S Miners continue to meet the criteria to be classified as held for sale as of September 30, 2024.</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reassessed the fair value less costs to sell of the MicroBT WhatsMiner M20S Miners and recognized an impairment loss of $208.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17  Page</w:t>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IMPAIRMENT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impairment loss</w:t>
      </w:r>
    </w:p>
    <w:p>
      <w:pPr>
        <w:spacing w:after="0" w:line="229"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$3,628 of impairment on assets held for sale. Refer to Note 8 for more details.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2023 impairment loss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Impairment on short-term prepaid deposits during the second quarter of 2023</w:t>
      </w:r>
    </w:p>
    <w:p>
      <w:pPr>
        <w:spacing w:after="0" w:line="3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2022, the Company entered into agreements with external import brokers to be able to proceed with the importation of its miners into Argentina. Under the agreements, the Company was required to make advance deposits to the external import brokers, which were classified as short-term prepaid deposits on the consolidated statements of financial position. During the second quarter of 2023, the Company decided to terminate the importation agreements with the external import brokers as of June 30, 2023.</w:t>
      </w:r>
    </w:p>
    <w:p>
      <w:pPr>
        <w:spacing w:after="0" w:line="187"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The Company assumed the cost of terminating the importation agreements with the brokers in order to execute its new importation strategy, resulting in the Company forgoing a deposits balance of $6,982. Accordingly, during the second quarter of 2023, the Company impaired $6,982 of short-term prepaid deposits. This impairment is presented in the consolidated statements of profit or loss and comprehensive profit or loss under Impairment on short-term prepaid deposits, equipment and construction prepayments, property, plant and equipment and right-of-use assets.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Impairment on mineral assets during the second quarter of 2023</w:t>
      </w:r>
    </w:p>
    <w:p>
      <w:pPr>
        <w:spacing w:after="0" w:line="3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The Suni mineral asset was acquired in connection with the reverse acquisition of Bitfarms Ltd (Israel) on April 12, 2018, and its value at the time was estimated at $9,000 based on an independent appraiser’s valuation. Suni is an iron ore deposit located in Canada that was held by the acquiree. Since its acquisition, following the presence of impairment indicators, the Suni mineral asset was written down to a net book value of $3,000 as of December 31, 2022.</w:t>
      </w:r>
    </w:p>
    <w:p>
      <w:pPr>
        <w:spacing w:after="0" w:line="18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second quarter of 2023, in connection with the planned disposal of the Suni mineral asset, Management tested the cash-generating unit for impairment, resulting in a further impairment charge of $3,000 and reducing the carrying amount to nil. This impairment charge is presented in the consolidated statements of profit or loss and comprehensive profit or loss under Impairment on short-term prepaid deposits, equipment and construction prepayments, property, plant and equipment and right-of-use assets. On July 27, 2023, the Company sold the Suni mineral asset for a nominal amount to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18  Page</w:t>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PPE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9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354,803</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5,740</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50,728</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1,262</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412,533</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182,461</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20,845</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4,112</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337</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207,755</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(174)</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(560)</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(194,931)</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(194,931)</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(14,763)</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(657)</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327,396</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26,157</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53,623</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1,556</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408,732</w:t>
            </w: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9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199,794</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424</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25,656</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647</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226,521</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119,069</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239</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3,068</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122,526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depreciation</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23, 25</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(8,624)</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(104)</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(37)</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(423)</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(184,425)</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(184,425)</w:t>
            </w: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on deposits transferred</w:t>
            </w:r>
          </w:p>
        </w:tc>
        <w:tc>
          <w:tcPr>
            <w:tcW w:w="960" w:type="dxa"/>
            <w:vAlign w:val="bottom"/>
          </w:tcPr>
          <w:p>
            <w:pPr>
              <w:spacing w:after="0"/>
              <w:rPr>
                <w:sz w:val="17"/>
                <w:szCs w:val="17"/>
                <w:color w:val="auto"/>
              </w:rPr>
            </w:pPr>
          </w:p>
        </w:tc>
        <w:tc>
          <w:tcPr>
            <w:tcW w:w="13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6,750</w:t>
            </w:r>
          </w:p>
        </w:tc>
        <w:tc>
          <w:tcPr>
            <w:tcW w:w="1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82</w:t>
            </w:r>
          </w:p>
        </w:tc>
        <w:tc>
          <w:tcPr>
            <w:tcW w:w="12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6,832</w:t>
            </w: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 PPE</w:t>
            </w:r>
          </w:p>
        </w:tc>
        <w:tc>
          <w:tcPr>
            <w:tcW w:w="9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9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132,527</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635</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28,279</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777</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162,218</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9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book value as of September</w:t>
            </w:r>
          </w:p>
        </w:tc>
        <w:tc>
          <w:tcPr>
            <w:tcW w:w="9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9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194,869</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25,522</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25,344</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779</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246,514</w:t>
            </w:r>
          </w:p>
        </w:tc>
        <w:tc>
          <w:tcPr>
            <w:tcW w:w="0" w:type="dxa"/>
            <w:vAlign w:val="bottom"/>
          </w:tcPr>
          <w:p>
            <w:pPr>
              <w:spacing w:after="0"/>
              <w:rPr>
                <w:sz w:val="1"/>
                <w:szCs w:val="1"/>
                <w:color w:val="auto"/>
              </w:rPr>
            </w:pPr>
          </w:p>
        </w:tc>
      </w:tr>
      <w:tr>
        <w:trPr>
          <w:trHeight w:val="410"/>
        </w:trPr>
        <w:tc>
          <w:tcPr>
            <w:tcW w:w="2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9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308,205</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9,000</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4,392</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45,278</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1,082</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367,957</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63,598</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1,348</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5,924</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71,142</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Additions related to asset</w:t>
            </w:r>
          </w:p>
        </w:tc>
        <w:tc>
          <w:tcPr>
            <w:tcW w:w="9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96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(7,325)</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(9,000)</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(9,688)</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change in discount rate</w:t>
            </w: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(499)</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354,803</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5,740</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50,728</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1,262</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412,533</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9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120,097</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6,000</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270</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21,636</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526</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148,529</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77,551</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3,556</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194</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81,455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(5,756)</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(9,000)</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(8,418)</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96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1,882</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3,000</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on deposits transferred</w:t>
            </w:r>
          </w:p>
        </w:tc>
        <w:tc>
          <w:tcPr>
            <w:tcW w:w="9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PPE</w:t>
            </w:r>
          </w:p>
        </w:tc>
        <w:tc>
          <w:tcPr>
            <w:tcW w:w="9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14,438</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469</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14,907</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199,794</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424</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25,656</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647</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226,521</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book value as of December 31,</w:t>
            </w: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155,009</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5,316</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25,072</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615</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19  Page</w:t>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BVVE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of the quantity and models of BTC BVVE held by the Company as of September 30, 2024 and December 31, 2023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060" w:type="dxa"/>
            <w:vAlign w:val="bottom"/>
          </w:tcPr>
          <w:p>
            <w:pPr>
              <w:spacing w:after="0"/>
              <w:rPr>
                <w:sz w:val="18"/>
                <w:szCs w:val="18"/>
                <w:color w:val="auto"/>
              </w:rPr>
            </w:pPr>
          </w:p>
        </w:tc>
      </w:tr>
      <w:tr>
        <w:trPr>
          <w:trHeight w:val="238"/>
        </w:trPr>
        <w:tc>
          <w:tcPr>
            <w:tcW w:w="3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T21</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S21</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2024</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51,738</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16,361</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68,099</w:t>
            </w: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1,943</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44,532</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50,450</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(6,491)</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(300)</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(6,791)</w:t>
            </w:r>
          </w:p>
        </w:tc>
      </w:tr>
      <w:tr>
        <w:trPr>
          <w:trHeight w:val="216"/>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September 30, 2024</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47,190</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16,061</w:t>
            </w: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44,532</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111,758</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(32,819)</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(8,395)</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(41,214)</w:t>
            </w:r>
          </w:p>
        </w:tc>
      </w:tr>
      <w:tr>
        <w:trPr>
          <w:trHeight w:val="216"/>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14,371</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7,666</w:t>
            </w: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44,532</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70,544</w:t>
            </w:r>
          </w:p>
        </w:tc>
      </w:tr>
    </w:tbl>
    <w:p>
      <w:pPr>
        <w:spacing w:after="0" w:line="198" w:lineRule="exact"/>
        <w:rPr>
          <w:sz w:val="20"/>
          <w:szCs w:val="20"/>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30,257 M30 of which 20,554 are classified as assets held for sale, 12,517 M31 of which 11,733 are classified as assets held for sale, 1,943 M50 of which 532 are classified as assets held for sale and 2,473 M53 Miners.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Refer to Note 8 for more details on assets held for sale.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Innosilicon</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980" w:type="dxa"/>
            <w:vAlign w:val="bottom"/>
          </w:tcPr>
          <w:p>
            <w:pPr>
              <w:spacing w:after="0"/>
              <w:rPr>
                <w:sz w:val="18"/>
                <w:szCs w:val="18"/>
                <w:color w:val="auto"/>
              </w:rPr>
            </w:pPr>
          </w:p>
        </w:tc>
      </w:tr>
      <w:tr>
        <w:trPr>
          <w:trHeight w:val="238"/>
        </w:trPr>
        <w:tc>
          <w:tcPr>
            <w:tcW w:w="3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T3 &amp; T2T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S19XP</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2023</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45,375</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7,172</w:t>
            </w:r>
          </w:p>
        </w:tc>
        <w:tc>
          <w:tcPr>
            <w:tcW w:w="1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5,711</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58,258</w:t>
            </w: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8,281</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9,289</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409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17,979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(1,918)</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(5,711)</w:t>
            </w:r>
          </w:p>
        </w:tc>
        <w:tc>
          <w:tcPr>
            <w:tcW w:w="14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December 31, 2023</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51,738</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16,361</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68,099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(731)</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51,007</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16,061</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67,068</w:t>
            </w:r>
          </w:p>
        </w:tc>
      </w:tr>
    </w:tbl>
    <w:p>
      <w:pPr>
        <w:spacing w:after="0" w:line="198" w:lineRule="exact"/>
        <w:rPr>
          <w:sz w:val="20"/>
          <w:szCs w:val="20"/>
          <w:color w:val="auto"/>
        </w:rPr>
      </w:pPr>
    </w:p>
    <w:p>
      <w:pPr>
        <w:ind w:left="20" w:right="3300" w:hanging="12"/>
        <w:spacing w:after="0" w:line="532" w:lineRule="auto"/>
        <w:tabs>
          <w:tab w:leader="none" w:pos="3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731 M20S classified as assets held for sale, 36,018 M30S, 12,517 M31S and 2,473 M50 Miners. Refer to Note 8 for more details on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20  Page</w:t>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Changes in the useful life, residual value and depreciation method of certain BVVE</w:t>
      </w:r>
    </w:p>
    <w:p>
      <w:pPr>
        <w:spacing w:after="0" w:line="31"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the Company exercised its purchase option for 28,000 Bitmain T21 Miners and entered into purchase agreements to acquire 19,280 Bitmain T21 Miners, 3,888 Bitmain S21 Miners and 740 Bitmain S21 hydro Miners. Refer to Note 12 for more details. The Company intends to liquidate its older Miners that are expected to be replaced with the Bitmain T21 Miners, Bitmain S21 Miners, Bitmain S21 hydro Miners and other hydro Miners. Refer to Note 8 for more details about the Miners held for sale.</w:t>
      </w:r>
    </w:p>
    <w:p>
      <w:pPr>
        <w:spacing w:after="0" w:line="18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Accelerated depreciation</w:t>
      </w:r>
    </w:p>
    <w:p>
      <w:pPr>
        <w:spacing w:after="0" w:line="29"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The older Miners will remain in service until the new Miners are installed to replace them. The Company has changed the usage and the retention strategy of the older Miners and, accordingly, revised their specific useful life, residual value and depreciation method.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changes are summarized as follows:</w:t>
      </w:r>
    </w:p>
    <w:p>
      <w:pPr>
        <w:spacing w:after="0" w:line="2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specific useful life of the older Miners from five years to two years to reflect their eventual disposal in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residual values to reflect the expected proceeds from the eventual disposals;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the depreciation method from sum-of-years over five years to straight-line method over two years to represent the change in pattern in which their future economic benefits are expected to be consumed by the Company.</w:t>
      </w:r>
    </w:p>
    <w:p>
      <w:pPr>
        <w:spacing w:after="0" w:line="181"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accelerated depreciation of $9,921 and $74,579, respectively, on its older Miners. These assets are expected to be depreciated to their residual values by the end of 2024.</w:t>
      </w:r>
    </w:p>
    <w:p>
      <w:pPr>
        <w:spacing w:after="0" w:line="16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decision to replace the older Miners, as well as a review of the useful life, residual value and depreciation method were indicators for impairment testing during the first quarter of 2024. As a result, the Company performed evaluations of the recoverable amount of the assets for operating the data centers separately in Quebec, Washington State, Argentina and Paraguay. Based on its calculations, which were based on discounted cash flow models, the Company determined that no impairment loss should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21  Page</w:t>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0"/>
        </w:trPr>
        <w:tc>
          <w:tcPr>
            <w:tcW w:w="10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Access rights to</w:t>
            </w:r>
          </w:p>
        </w:tc>
        <w:tc>
          <w:tcPr>
            <w:tcW w:w="960" w:type="dxa"/>
            <w:vAlign w:val="bottom"/>
          </w:tcPr>
          <w:p>
            <w:pPr>
              <w:spacing w:after="0"/>
              <w:rPr>
                <w:sz w:val="24"/>
                <w:szCs w:val="24"/>
                <w:color w:val="auto"/>
              </w:rPr>
            </w:pPr>
          </w:p>
        </w:tc>
      </w:tr>
      <w:tr>
        <w:trPr>
          <w:trHeight w:val="238"/>
        </w:trPr>
        <w:tc>
          <w:tcPr>
            <w:tcW w:w="108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Systems software</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electricity</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9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3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3,801</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8,951</w:t>
            </w:r>
          </w:p>
        </w:tc>
      </w:tr>
      <w:tr>
        <w:trPr>
          <w:trHeight w:val="216"/>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w:t>
            </w:r>
          </w:p>
        </w:tc>
        <w:tc>
          <w:tcPr>
            <w:tcW w:w="39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912</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912</w:t>
            </w:r>
          </w:p>
        </w:tc>
      </w:tr>
      <w:tr>
        <w:trPr>
          <w:trHeight w:val="210"/>
        </w:trPr>
        <w:tc>
          <w:tcPr>
            <w:tcW w:w="50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3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4,713</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9,863</w:t>
            </w:r>
          </w:p>
        </w:tc>
      </w:tr>
      <w:tr>
        <w:trPr>
          <w:trHeight w:val="209"/>
        </w:trPr>
        <w:tc>
          <w:tcPr>
            <w:tcW w:w="10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5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09"/>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3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5,138</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113</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5,251</w:t>
            </w:r>
          </w:p>
        </w:tc>
      </w:tr>
      <w:tr>
        <w:trPr>
          <w:trHeight w:val="216"/>
        </w:trPr>
        <w:tc>
          <w:tcPr>
            <w:tcW w:w="1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96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395</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w:t>
            </w:r>
          </w:p>
        </w:tc>
      </w:tr>
      <w:tr>
        <w:trPr>
          <w:trHeight w:val="209"/>
        </w:trPr>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3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5,147</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508</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5,655</w:t>
            </w:r>
          </w:p>
        </w:tc>
      </w:tr>
      <w:tr>
        <w:trPr>
          <w:trHeight w:val="209"/>
        </w:trPr>
        <w:tc>
          <w:tcPr>
            <w:tcW w:w="1080" w:type="dxa"/>
            <w:vAlign w:val="bottom"/>
            <w:tcBorders>
              <w:bottom w:val="single" w:sz="8" w:color="auto"/>
            </w:tcBorders>
            <w:shd w:val="clear" w:color="auto" w:fill="CCEEFF"/>
          </w:tcPr>
          <w:p>
            <w:pPr>
              <w:spacing w:after="0"/>
              <w:rPr>
                <w:sz w:val="18"/>
                <w:szCs w:val="18"/>
                <w:color w:val="auto"/>
              </w:rPr>
            </w:pPr>
          </w:p>
        </w:tc>
        <w:tc>
          <w:tcPr>
            <w:tcW w:w="396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7"/>
        </w:trPr>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 as of September 30, 2024</w:t>
            </w:r>
          </w:p>
        </w:tc>
        <w:tc>
          <w:tcPr>
            <w:tcW w:w="3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4,205</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4,208</w:t>
            </w:r>
          </w:p>
        </w:tc>
      </w:tr>
      <w:tr>
        <w:trPr>
          <w:trHeight w:val="437"/>
        </w:trPr>
        <w:tc>
          <w:tcPr>
            <w:tcW w:w="10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Access rights to</w:t>
            </w:r>
          </w:p>
        </w:tc>
        <w:tc>
          <w:tcPr>
            <w:tcW w:w="960" w:type="dxa"/>
            <w:vAlign w:val="bottom"/>
          </w:tcPr>
          <w:p>
            <w:pPr>
              <w:spacing w:after="0"/>
              <w:rPr>
                <w:sz w:val="24"/>
                <w:szCs w:val="24"/>
                <w:color w:val="auto"/>
              </w:rPr>
            </w:pPr>
          </w:p>
        </w:tc>
      </w:tr>
      <w:tr>
        <w:trPr>
          <w:trHeight w:val="238"/>
        </w:trPr>
        <w:tc>
          <w:tcPr>
            <w:tcW w:w="108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Systems software</w:t>
            </w:r>
          </w:p>
        </w:tc>
        <w:tc>
          <w:tcPr>
            <w:tcW w:w="1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electricity</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9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3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5,150</w:t>
            </w:r>
          </w:p>
        </w:tc>
        <w:tc>
          <w:tcPr>
            <w:tcW w:w="17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5,150</w:t>
            </w:r>
          </w:p>
        </w:tc>
      </w:tr>
      <w:tr>
        <w:trPr>
          <w:trHeight w:val="216"/>
        </w:trPr>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Additions related to asset acquisitions</w:t>
            </w:r>
          </w:p>
        </w:tc>
        <w:tc>
          <w:tcPr>
            <w:tcW w:w="3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3,801</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3,801</w:t>
            </w:r>
          </w:p>
        </w:tc>
      </w:tr>
      <w:tr>
        <w:trPr>
          <w:trHeight w:val="210"/>
        </w:trPr>
        <w:tc>
          <w:tcPr>
            <w:tcW w:w="50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5,150</w:t>
            </w:r>
          </w:p>
        </w:tc>
        <w:tc>
          <w:tcPr>
            <w:tcW w:w="17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3,801</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8,951</w:t>
            </w:r>
          </w:p>
        </w:tc>
      </w:tr>
      <w:tr>
        <w:trPr>
          <w:trHeight w:val="210"/>
        </w:trPr>
        <w:tc>
          <w:tcPr>
            <w:tcW w:w="10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5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3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5,117</w:t>
            </w: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5,117</w:t>
            </w:r>
          </w:p>
        </w:tc>
      </w:tr>
      <w:tr>
        <w:trPr>
          <w:trHeight w:val="216"/>
        </w:trPr>
        <w:tc>
          <w:tcPr>
            <w:tcW w:w="1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96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7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113</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10"/>
        </w:trPr>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5,138</w:t>
            </w:r>
          </w:p>
        </w:tc>
        <w:tc>
          <w:tcPr>
            <w:tcW w:w="1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113</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5,251</w:t>
            </w:r>
          </w:p>
        </w:tc>
      </w:tr>
      <w:tr>
        <w:trPr>
          <w:trHeight w:val="210"/>
        </w:trPr>
        <w:tc>
          <w:tcPr>
            <w:tcW w:w="1080" w:type="dxa"/>
            <w:vAlign w:val="bottom"/>
            <w:tcBorders>
              <w:bottom w:val="single" w:sz="8" w:color="auto"/>
            </w:tcBorders>
            <w:shd w:val="clear" w:color="auto" w:fill="CCEEFF"/>
          </w:tcPr>
          <w:p>
            <w:pPr>
              <w:spacing w:after="0"/>
              <w:rPr>
                <w:sz w:val="18"/>
                <w:szCs w:val="18"/>
                <w:color w:val="auto"/>
              </w:rPr>
            </w:pPr>
          </w:p>
        </w:tc>
        <w:tc>
          <w:tcPr>
            <w:tcW w:w="3960" w:type="dxa"/>
            <w:vAlign w:val="bottom"/>
            <w:tcBorders>
              <w:bottom w:val="single" w:sz="8" w:color="auto"/>
            </w:tcBorders>
            <w:shd w:val="clear" w:color="auto" w:fill="CCEEFF"/>
          </w:tcPr>
          <w:p>
            <w:pPr>
              <w:spacing w:after="0"/>
              <w:rPr>
                <w:sz w:val="18"/>
                <w:szCs w:val="18"/>
                <w:color w:val="auto"/>
              </w:rPr>
            </w:pPr>
          </w:p>
        </w:tc>
        <w:tc>
          <w:tcPr>
            <w:tcW w:w="35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6"/>
        </w:trPr>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book value as of December 31, 2023</w:t>
            </w:r>
          </w:p>
        </w:tc>
        <w:tc>
          <w:tcPr>
            <w:tcW w:w="3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3,688</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Additions related to access rights to electricity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the Company received approval from the power supplier in Washington State for a 6 MW expansion. During the second quarter of 2023, the Company began constructing an additional data center on Company-owned land and paid $912 to the power supplier for establishing the connection, which was capitalized as long-term deposits, equipment, prepayments and other. During the nine months ended September 30, 2024, the power supplier established the electricity connection, allowing the Company to access the 6 MW of hydro power capacity. As a result, the balance of $912 was reclassified from long-term deposits, equipment, prepayments and other to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22  Page</w:t>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 xml:space="preserve">INTANGIBLE ASSETS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Additions related to access rights to electricity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access rights to electricity: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Term of contractual access</w:t>
            </w:r>
          </w:p>
        </w:tc>
        <w:tc>
          <w:tcPr>
            <w:tcW w:w="3860" w:type="dxa"/>
            <w:vAlign w:val="bottom"/>
          </w:tcPr>
          <w:p>
            <w:pPr>
              <w:spacing w:after="0"/>
              <w:rPr>
                <w:sz w:val="18"/>
                <w:szCs w:val="18"/>
                <w:color w:val="auto"/>
              </w:rPr>
            </w:pPr>
          </w:p>
        </w:tc>
      </w:tr>
      <w:tr>
        <w:trPr>
          <w:trHeight w:val="238"/>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 ($)</w:t>
            </w:r>
          </w:p>
        </w:tc>
        <w:tc>
          <w:tcPr>
            <w:tcW w:w="11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r>
      <w:tr>
        <w:trPr>
          <w:trHeight w:val="209"/>
        </w:trPr>
        <w:tc>
          <w:tcPr>
            <w:tcW w:w="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Washington State, USA</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MW</w:t>
            </w:r>
          </w:p>
        </w:tc>
        <w:tc>
          <w:tcPr>
            <w:tcW w:w="2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termination date</w:t>
            </w:r>
          </w:p>
        </w:tc>
        <w:tc>
          <w:tcPr>
            <w:tcW w:w="38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Declining balance 4%</w:t>
            </w:r>
          </w:p>
        </w:tc>
      </w:tr>
      <w:tr>
        <w:trPr>
          <w:trHeight w:val="210"/>
        </w:trPr>
        <w:tc>
          <w:tcPr>
            <w:tcW w:w="6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1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 MW</w:t>
            </w:r>
          </w:p>
        </w:tc>
        <w:tc>
          <w:tcPr>
            <w:tcW w:w="23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r>
      <w:tr>
        <w:trPr>
          <w:trHeight w:val="209"/>
        </w:trPr>
        <w:tc>
          <w:tcPr>
            <w:tcW w:w="6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r>
      <w:tr>
        <w:trPr>
          <w:trHeight w:val="198"/>
        </w:trPr>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0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Baie-Comeau, Quebec</w:t>
            </w:r>
          </w:p>
        </w:tc>
        <w:tc>
          <w:tcPr>
            <w:tcW w:w="1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2,315</w:t>
            </w:r>
          </w:p>
        </w:tc>
        <w:tc>
          <w:tcPr>
            <w:tcW w:w="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60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MW</w:t>
            </w:r>
          </w:p>
        </w:tc>
        <w:tc>
          <w:tcPr>
            <w:tcW w:w="2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No termination date</w:t>
            </w:r>
          </w:p>
        </w:tc>
        <w:tc>
          <w:tcPr>
            <w:tcW w:w="3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Straight-line over the lease term of the data</w:t>
            </w:r>
          </w:p>
        </w:tc>
      </w:tr>
      <w:tr>
        <w:trPr>
          <w:trHeight w:val="234"/>
        </w:trPr>
        <w:tc>
          <w:tcPr>
            <w:tcW w:w="6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center</w:t>
            </w: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Paso Pe, Paraguay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MW *</w:t>
            </w: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in December 31, 2027</w:t>
            </w:r>
          </w:p>
        </w:tc>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Straight-line over the access rights period</w:t>
            </w:r>
          </w:p>
        </w:tc>
      </w:tr>
      <w:tr>
        <w:trPr>
          <w:trHeight w:val="216"/>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2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Yguazu, Paraguay</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MW**</w:t>
            </w:r>
          </w:p>
        </w:tc>
        <w:tc>
          <w:tcPr>
            <w:tcW w:w="2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Ending in December 31, 2027</w:t>
            </w:r>
          </w:p>
        </w:tc>
        <w:tc>
          <w:tcPr>
            <w:tcW w:w="3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Straight-line over the access rights period</w:t>
            </w:r>
          </w:p>
        </w:tc>
      </w:tr>
      <w:tr>
        <w:trPr>
          <w:trHeight w:val="209"/>
        </w:trPr>
        <w:tc>
          <w:tcPr>
            <w:tcW w:w="6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12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172 MW</w:t>
            </w:r>
          </w:p>
        </w:tc>
        <w:tc>
          <w:tcPr>
            <w:tcW w:w="2380" w:type="dxa"/>
            <w:vAlign w:val="bottom"/>
            <w:tcBorders>
              <w:bottom w:val="single" w:sz="8" w:color="auto"/>
            </w:tcBorders>
            <w:shd w:val="clear" w:color="auto" w:fill="CCEEFF"/>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18"/>
                <w:szCs w:val="18"/>
                <w:color w:val="auto"/>
              </w:rPr>
            </w:pPr>
          </w:p>
        </w:tc>
      </w:tr>
      <w:tr>
        <w:trPr>
          <w:trHeight w:val="210"/>
        </w:trPr>
        <w:tc>
          <w:tcPr>
            <w:tcW w:w="6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r>
      <w:tr>
        <w:trPr>
          <w:trHeight w:val="216"/>
        </w:trPr>
        <w:tc>
          <w:tcPr>
            <w:tcW w:w="6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12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178 MW</w:t>
            </w:r>
          </w:p>
        </w:tc>
        <w:tc>
          <w:tcPr>
            <w:tcW w:w="2380" w:type="dxa"/>
            <w:vAlign w:val="bottom"/>
            <w:tcBorders>
              <w:bottom w:val="single" w:sz="8" w:color="auto"/>
            </w:tcBorders>
            <w:shd w:val="clear" w:color="auto" w:fill="CCEEFF"/>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Company finalized an amendment to the existing contract for an additional 20 MW of energy capacity for a total capacity of 70 MW.</w:t>
      </w:r>
    </w:p>
    <w:p>
      <w:pPr>
        <w:spacing w:after="0" w:line="162" w:lineRule="exact"/>
        <w:rPr>
          <w:sz w:val="20"/>
          <w:szCs w:val="20"/>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the Company finalized an amendment to the existing contract for an additional 100 MW of energy capacity for a total capacity of 200 MW.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LONG-TERM DEPOSITS, EQUIPMENT PREPAYMENTS, COMMITMENTS AND OTHER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5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for energy, insurance and rent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12,873</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102,903</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39,813</w:t>
            </w:r>
          </w:p>
        </w:tc>
      </w:tr>
      <w:tr>
        <w:trPr>
          <w:trHeight w:val="216"/>
        </w:trPr>
        <w:tc>
          <w:tcPr>
            <w:tcW w:w="5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Refundable deposit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7,125</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122,901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44,714</w:t>
            </w:r>
          </w:p>
        </w:tc>
      </w:tr>
    </w:tbl>
    <w:p>
      <w:pPr>
        <w:spacing w:after="0" w:line="194"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 deposits for energy, insurance and rent</w:t>
      </w:r>
    </w:p>
    <w:p>
      <w:pPr>
        <w:spacing w:after="0" w:line="31" w:lineRule="exact"/>
        <w:rPr>
          <w:sz w:val="20"/>
          <w:szCs w:val="20"/>
          <w:color w:val="auto"/>
        </w:rPr>
      </w:pPr>
    </w:p>
    <w:p>
      <w:pPr>
        <w:jc w:val="both"/>
        <w:ind w:left="20" w:hanging="4"/>
        <w:spacing w:after="0" w:line="252" w:lineRule="auto"/>
        <w:rPr>
          <w:sz w:val="20"/>
          <w:szCs w:val="20"/>
          <w:color w:val="auto"/>
        </w:rPr>
      </w:pPr>
      <w:r>
        <w:rPr>
          <w:rFonts w:ascii="Times New Roman" w:cs="Times New Roman" w:eastAsia="Times New Roman" w:hAnsi="Times New Roman"/>
          <w:sz w:val="18"/>
          <w:szCs w:val="18"/>
          <w:color w:val="auto"/>
        </w:rPr>
        <w:t>As of September 30, 2024, the Company had security deposits for energy, insurance and rent in the amount of $12,873, which includes $5,930 and $3,380 of security deposits for energy consumption at its operational Paso Pe data center and at its future Yguazu data center in Paraguay, respectively. On May 13, 2024, the Company amended its power purchase agreement (“PPA”) for its Yguazu data center to increase the contracted power from 100 MW to 200 MW beginning on January 1, 2025. The Company is required to pay security deposits totaling $16,245 between June 2024 and January 2025 for future electricity consumption. The security deposits paid to the energy supplier are refundable at the end of the contract term in December 2027 assuming the Company draws power based on the agreed upon schedule and is not in breach of other clauses in the 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23  Page</w:t>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LONG-TERM DEPOSITS, EQUIPMENT PREPAYMENTS, COMMITMENTS AND OTHER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and construction prepayments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details the equipment and construction prepayments: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9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 credits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11,330</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Bitmain T21 Miners Purchase Order and Purchase Option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43,576</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16,912</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 Purchase Order</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iii.</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31,041</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BVVE and electrical components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iv.</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15,149</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r>
      <w:tr>
        <w:trPr>
          <w:trHeight w:val="216"/>
        </w:trPr>
        <w:tc>
          <w:tcPr>
            <w:tcW w:w="5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work and materials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v.</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13,137</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7,171</w:t>
            </w:r>
          </w:p>
        </w:tc>
      </w:tr>
      <w:tr>
        <w:trPr>
          <w:trHeight w:val="217"/>
        </w:trPr>
        <w:tc>
          <w:tcPr>
            <w:tcW w:w="59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102,903</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39,813</w:t>
            </w:r>
          </w:p>
        </w:tc>
      </w:tr>
    </w:tbl>
    <w:p>
      <w:pPr>
        <w:spacing w:after="0" w:line="19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Miner credits</w:t>
      </w:r>
    </w:p>
    <w:p>
      <w:pPr>
        <w:spacing w:after="0" w:line="2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December 2022, the Company renegotiated its previous purchase agreements for 48,000 Miners by extinguishing the outstanding commitments of $45,350 without penalty and establishing a $22,376 credit for deposits previously made. The Company received $3,279 of Miners, reducing the outstanding credit balance to $19,097 at December 31, 2022, which was fully utilized during 2023 for the acquisition of hydro Miners and hydro containers. These items were received during the nine months ended September 30, 2024 and the long-term deposit balance was reduced to nil upon the transfer to property, plant and equipment.</w:t>
      </w:r>
    </w:p>
    <w:p>
      <w:pPr>
        <w:spacing w:after="0" w:line="18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Bitmain T21 Miners Purchase Order and Purchase Option</w:t>
      </w:r>
    </w:p>
    <w:p>
      <w:pPr>
        <w:spacing w:after="0" w:line="29" w:lineRule="exact"/>
        <w:rPr>
          <w:sz w:val="20"/>
          <w:szCs w:val="20"/>
          <w:color w:val="auto"/>
        </w:rPr>
      </w:pPr>
    </w:p>
    <w:p>
      <w:pPr>
        <w:jc w:val="both"/>
        <w:ind w:left="20" w:hanging="4"/>
        <w:spacing w:after="0" w:line="252" w:lineRule="auto"/>
        <w:rPr>
          <w:sz w:val="20"/>
          <w:szCs w:val="20"/>
          <w:color w:val="auto"/>
        </w:rPr>
      </w:pPr>
      <w:r>
        <w:rPr>
          <w:rFonts w:ascii="Times New Roman" w:cs="Times New Roman" w:eastAsia="Times New Roman" w:hAnsi="Times New Roman"/>
          <w:sz w:val="18"/>
          <w:szCs w:val="18"/>
          <w:color w:val="auto"/>
        </w:rPr>
        <w:t>During the fourth quarter of 2023, the Company placed a firm purchase order for approximately 35,888 Bitmain T21 Miners (the “Purchase Order’’) totaling $95,462 with deliveries scheduled from March 2024 to June 2024 and made a non-refundable deposit of $9,464. In addition, the Company secured a purchase option for approximately an additional 28,000 Bitmain T21 Miners (the “Purchase Option’’) totaling $74,480 and made a non-refundable deposit of $7,448. This Purchase Option gives the Company the right, exercisable until December 31, 2024, but not the obligation, to purchase up to 28,000 additional Bitmain T21 Miners. The total hashrate from the Miners received should correspond to the total hashrate specified in the initial agreements. The quantity of Miners received may vary based on the individual specifications of each Miner.</w:t>
      </w:r>
    </w:p>
    <w:p>
      <w:pPr>
        <w:spacing w:after="0" w:line="190"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the Company fully exercised the Purchase Option with deliveries scheduled for September and October 2024. During the nine months ended September 30, 2024, the Company made additional deposits of $145,050 towards the Purchase Order, of which approximately 44,600 Bitmain T21 Miners with a book value of $118,386 were received or in transit. As of September 30, 2024, the deposit balance for the Purchase Order and the Purchase Option was $43,576.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24  Page</w:t>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LONG-TERM DEPOSITS, EQUIPMENT PREPAYMENTS, COMMITMENTS AND OTHER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Equipment and construction prepayments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March 2024 Purchase Order</w:t>
      </w:r>
    </w:p>
    <w:p>
      <w:pPr>
        <w:spacing w:after="0" w:line="9" w:lineRule="exact"/>
        <w:rPr>
          <w:sz w:val="20"/>
          <w:szCs w:val="20"/>
          <w:color w:val="auto"/>
        </w:rPr>
      </w:pPr>
    </w:p>
    <w:p>
      <w:pPr>
        <w:jc w:val="both"/>
        <w:ind w:hanging="4"/>
        <w:spacing w:after="0" w:line="252" w:lineRule="auto"/>
        <w:rPr>
          <w:sz w:val="20"/>
          <w:szCs w:val="20"/>
          <w:color w:val="auto"/>
        </w:rPr>
      </w:pPr>
      <w:r>
        <w:rPr>
          <w:rFonts w:ascii="Times New Roman" w:cs="Times New Roman" w:eastAsia="Times New Roman" w:hAnsi="Times New Roman"/>
          <w:sz w:val="18"/>
          <w:szCs w:val="18"/>
          <w:color w:val="auto"/>
        </w:rPr>
        <w:t>During the first quarter of 2024, the Company purchased approximately an additional 19,280 Bitmain T21 Miners, 3,888 Bitmain S21 Miners and 740 Bitmain S21 Hydro Miners (collectively defined as the “March 2024 Purchase Order’’) for $51,285, $13,608 and $4,338, respectively, with deliveries scheduled from April 2024 to November 2024. During the nine months ended September 30, 2024, the Company made deposits of $44,649 towards the March 2024 Purchase Order, of which approximately 4,000 Bitmain S21 Miners with a book value of $13,608 were received. As of September 30, 2024, the deposit balance for the March 2024 Purchase Order was $31,041. The total hashrate from the Miners received should correspond to the total hashrate specified in the initial agreements. The quantity of Miners received may vary based on the individual specifications of each Miner.</w:t>
      </w:r>
    </w:p>
    <w:p>
      <w:pPr>
        <w:spacing w:after="0" w:line="188"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BVVE and electrical components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September 30, 2024, the Company had deposits for other BVVE and electrical components in the amount of $15,149.</w:t>
      </w:r>
    </w:p>
    <w:p>
      <w:pPr>
        <w:spacing w:after="0" w:line="20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Construction work and materials</w:t>
      </w:r>
    </w:p>
    <w:p>
      <w:pPr>
        <w:spacing w:after="0" w:line="29"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As of September 30, 2024, the Company had deposits for construction work and materials in the amount of $13,137, mainly for the Paraguay and USA expansions.</w:t>
      </w:r>
    </w:p>
    <w:p>
      <w:pPr>
        <w:spacing w:after="0" w:line="177"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Refundable deposit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13, 2024, the Company entered into a Miner hosting agreement (the "Hosting Agreement") with Stronghold Digital Mining Hosting, LLC, a subsidiary of Stronghold Digital Mining, Inc. ("Stronghold") In connection with the execution of the Hosting Agreement, the Company deposited $7,800 with Stronghold (“Refundable deposit”), equal to the estimated cost of power for three months of operations of the Company's Miners, which will be paid in full to the Company within one business day from the end of the initial term expiring on December 31, 2025. This Refundable deposit bears an annual interest rate at Secured Overnight Financing Rate ("SOFR") + 1% (the "annual interest rate"). The Refundable deposit is recorded as a financial asset and recorded at fair value on initial recognition based on the contractual right to receive only the Refundable deposit plus interest at the end of the term. The annual interest rate is lower than the rate used in determining the fair value, resulting in the deposit being recorded at a fair value of $7,125 upon initial recognition. Subsequently, the Refundable deposit is recorded at amortized cost. Refer to Note 19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25  Page</w:t>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LONG-TERM DEPOSITS, EQUIPMENT PREPAYMENTS, COMMITMENTS AND OTHER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31"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As of September 30, 2024, the Company’s total remaining payment obligations in connection with the Purchase Option and the March 2024 Purchase Order was $31,912 and was fully paid in October 2024.</w:t>
      </w:r>
    </w:p>
    <w:p>
      <w:pPr>
        <w:spacing w:after="0" w:line="181" w:lineRule="exact"/>
        <w:rPr>
          <w:sz w:val="20"/>
          <w:szCs w:val="20"/>
          <w:color w:val="auto"/>
        </w:rPr>
      </w:pPr>
    </w:p>
    <w:p>
      <w:pPr>
        <w:jc w:val="both"/>
        <w:ind w:left="20" w:right="20" w:hanging="4"/>
        <w:spacing w:after="0" w:line="282" w:lineRule="auto"/>
        <w:rPr>
          <w:sz w:val="20"/>
          <w:szCs w:val="20"/>
          <w:color w:val="auto"/>
        </w:rPr>
      </w:pPr>
      <w:r>
        <w:rPr>
          <w:rFonts w:ascii="Times New Roman" w:cs="Times New Roman" w:eastAsia="Times New Roman" w:hAnsi="Times New Roman"/>
          <w:sz w:val="18"/>
          <w:szCs w:val="18"/>
          <w:color w:val="auto"/>
        </w:rPr>
        <w:t>As described in Note 26, the Company amended the Purchase Option and March 2024 Purchase Order on November 12, 2024 and has payment obligations of $33,200, which is due during the fourth quarter of 2024.</w:t>
      </w:r>
    </w:p>
    <w:p>
      <w:pPr>
        <w:spacing w:after="0" w:line="162"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If the Company is unable to meet its payment obligations, it could result in the loss of equipment prepayments and deposits paid by the Company under the Purchase Order and remedial legal measures against the Company. This may result in damages payable by the Company and forced continuance of the contractual arrangement. Under such circumstances, the Company’s growth plans and ongoing operations could be adversely impacted.</w:t>
      </w:r>
    </w:p>
    <w:p>
      <w:pPr>
        <w:spacing w:after="0" w:line="172"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 2021, the Company imported Miners into Washington State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w:t>
      </w:r>
    </w:p>
    <w:p>
      <w:pPr>
        <w:spacing w:after="0" w:line="186"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submitted supporting documentation to U.S. Customs and Border Protection in defense of its position that the Miners were manufactured outside China and the associated custom duties in the amount of $9,424 do not apply. While the final outcome of this matter is uncertain at this time, Management has determined it is not probable that it will result in a future cash outflow for the Company and, as such, no provision was recorded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26  Page</w:t>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w:t>
            </w: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TRADE PAYABLES AND ACCRUED LIABILITIES</w:t>
            </w:r>
          </w:p>
        </w:tc>
        <w:tc>
          <w:tcPr>
            <w:tcW w:w="29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10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100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31,690</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6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2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11,662</w:t>
            </w:r>
          </w:p>
        </w:tc>
      </w:tr>
      <w:tr>
        <w:trPr>
          <w:trHeight w:val="217"/>
        </w:trPr>
        <w:tc>
          <w:tcPr>
            <w:tcW w:w="1000" w:type="dxa"/>
            <w:vAlign w:val="bottom"/>
            <w:tcBorders>
              <w:bottom w:val="single" w:sz="8" w:color="auto"/>
            </w:tcBorders>
            <w:shd w:val="clear" w:color="auto" w:fill="CCEEFF"/>
          </w:tcPr>
          <w:p>
            <w:pPr>
              <w:spacing w:after="0"/>
              <w:rPr>
                <w:sz w:val="18"/>
                <w:szCs w:val="18"/>
                <w:color w:val="auto"/>
              </w:rPr>
            </w:pPr>
          </w:p>
        </w:tc>
        <w:tc>
          <w:tcPr>
            <w:tcW w:w="564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34,314</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20,739</w:t>
            </w:r>
          </w:p>
        </w:tc>
      </w:tr>
    </w:tbl>
    <w:p>
      <w:pPr>
        <w:spacing w:after="0" w:line="198"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23b for more details about the reversal of Canadian government remittances payable.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3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 of warrant liabilities is as follows:</w:t>
            </w:r>
          </w:p>
        </w:tc>
        <w:tc>
          <w:tcPr>
            <w:tcW w:w="3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c>
          <w:tcPr>
            <w:tcW w:w="0" w:type="dxa"/>
            <w:vAlign w:val="bottom"/>
          </w:tcPr>
          <w:p>
            <w:pPr>
              <w:spacing w:after="0"/>
              <w:rPr>
                <w:sz w:val="1"/>
                <w:szCs w:val="1"/>
                <w:color w:val="auto"/>
              </w:rPr>
            </w:pPr>
          </w:p>
        </w:tc>
      </w:tr>
      <w:tr>
        <w:trPr>
          <w:trHeight w:val="216"/>
        </w:trPr>
        <w:tc>
          <w:tcPr>
            <w:tcW w:w="10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private placement</w:t>
            </w:r>
          </w:p>
        </w:tc>
        <w:tc>
          <w:tcPr>
            <w:tcW w:w="3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14,327</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34,276</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2021 private placements</w:t>
            </w:r>
          </w:p>
        </w:tc>
        <w:tc>
          <w:tcPr>
            <w:tcW w:w="3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6,150</w:t>
            </w:r>
          </w:p>
        </w:tc>
        <w:tc>
          <w:tcPr>
            <w:tcW w:w="0" w:type="dxa"/>
            <w:vAlign w:val="bottom"/>
          </w:tcPr>
          <w:p>
            <w:pPr>
              <w:spacing w:after="0"/>
              <w:rPr>
                <w:sz w:val="1"/>
                <w:szCs w:val="1"/>
                <w:color w:val="auto"/>
              </w:rPr>
            </w:pPr>
          </w:p>
        </w:tc>
      </w:tr>
      <w:tr>
        <w:trPr>
          <w:trHeight w:val="217"/>
        </w:trPr>
        <w:tc>
          <w:tcPr>
            <w:tcW w:w="1000" w:type="dxa"/>
            <w:vAlign w:val="bottom"/>
            <w:tcBorders>
              <w:bottom w:val="single" w:sz="8" w:color="auto"/>
            </w:tcBorders>
            <w:shd w:val="clear" w:color="auto" w:fill="CCEEFF"/>
          </w:tcPr>
          <w:p>
            <w:pPr>
              <w:spacing w:after="0"/>
              <w:rPr>
                <w:sz w:val="18"/>
                <w:szCs w:val="18"/>
                <w:color w:val="auto"/>
              </w:rPr>
            </w:pPr>
          </w:p>
        </w:tc>
        <w:tc>
          <w:tcPr>
            <w:tcW w:w="4740" w:type="dxa"/>
            <w:vAlign w:val="bottom"/>
            <w:tcBorders>
              <w:bottom w:val="single" w:sz="8" w:color="auto"/>
            </w:tcBorders>
            <w:shd w:val="clear" w:color="auto" w:fill="CCEEFF"/>
          </w:tcPr>
          <w:p>
            <w:pPr>
              <w:spacing w:after="0"/>
              <w:rPr>
                <w:sz w:val="18"/>
                <w:szCs w:val="18"/>
                <w:color w:val="auto"/>
              </w:rPr>
            </w:pPr>
          </w:p>
        </w:tc>
        <w:tc>
          <w:tcPr>
            <w:tcW w:w="3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14,327</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that included 22,222,223 warrants and 3,000,000 broker warrants to purchase common shares (the “2023 private placement”). The warrants and broker warrants are convertible for a fixed number of common shares of the Company but have a contingent cashless exercise clause which results in a classification of the warrants and broker warrants as a financial liability and measurement of such warrants at fair value through profit or loss recognized in Net financial income.</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Details of the outstanding warrants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60" w:type="dxa"/>
            <w:vAlign w:val="bottom"/>
            <w:tcBorders>
              <w:bottom w:val="single" w:sz="8" w:color="auto"/>
            </w:tcBorders>
          </w:tcPr>
          <w:p>
            <w:pPr>
              <w:spacing w:after="0"/>
              <w:rPr>
                <w:sz w:val="20"/>
                <w:szCs w:val="20"/>
                <w:color w:val="auto"/>
              </w:rPr>
            </w:pPr>
          </w:p>
        </w:tc>
      </w:tr>
      <w:tr>
        <w:trPr>
          <w:trHeight w:val="210"/>
        </w:trPr>
        <w:tc>
          <w:tcPr>
            <w:tcW w:w="40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4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tcPr>
          <w:p>
            <w:pPr>
              <w:spacing w:after="0"/>
              <w:rPr>
                <w:sz w:val="16"/>
                <w:szCs w:val="16"/>
                <w:color w:val="auto"/>
              </w:rPr>
            </w:pPr>
          </w:p>
        </w:tc>
        <w:tc>
          <w:tcPr>
            <w:tcW w:w="13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040" w:type="dxa"/>
            <w:vAlign w:val="bottom"/>
          </w:tcPr>
          <w:p>
            <w:pPr>
              <w:spacing w:after="0"/>
              <w:rPr>
                <w:sz w:val="18"/>
                <w:szCs w:val="18"/>
                <w:color w:val="auto"/>
              </w:rPr>
            </w:pPr>
          </w:p>
        </w:tc>
        <w:tc>
          <w:tcPr>
            <w:tcW w:w="3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Number of</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 exercise</w:t>
            </w:r>
          </w:p>
        </w:tc>
      </w:tr>
      <w:tr>
        <w:trPr>
          <w:trHeight w:val="238"/>
        </w:trPr>
        <w:tc>
          <w:tcPr>
            <w:tcW w:w="40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price (USD)</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warrants</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price (USD)</w:t>
            </w: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3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35,105,390</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2.83</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19,152,797</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(5,111,111)</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1.17</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(19,152,797)</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4.20</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September 30,</w:t>
            </w:r>
          </w:p>
        </w:tc>
        <w:tc>
          <w:tcPr>
            <w:tcW w:w="3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10,841,482</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1.19</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19,152,797</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of September 30, 2024, was 2.2 years (September 30, 2023: 0.7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27  Page</w:t>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 xml:space="preserve">WARRANT LIABILITIES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7, 2024, 96,000 broker warrants from the January 7, 2021 private placement expired and were derecognized during the first quarter of 2024, which resulted in a non-cash gain on revaluation of warrants of $61 included in Net financial income during the nine months ended September 30,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5,000,000 warrants and 111,111 broker warrants related to the 2023 private placement were exercised resulting in the issuance of 5,111,111 common shares for proceeds of approximately $5,986.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11, 2024, 25,000 warrants relating to the acquisition of the Garlock building in Sherbrooke, Quebec issued during the first quarter of 2022 expired. These warrants were recorded as equity instruments.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2024, 10,613,208 warrants and 1,132,076 broker warrants from the May 17, 2021 private placement expired and were derecognized during the second quarter of 2024, which resulted in a non-cash gain on revaluation of warrants of $1,739 in Net financial income during the nine months ended September 30,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10, 2024, 558,660 warrants and 446,927 broker warrants from the January 10, 2021 private placements expired and were derecognized during the three and nine months ended September 30, 2024, which resulted in a non-cash gain on revaluation of warrants of $2 and $505, respectively, included in Net financial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7, 2024, 6,156,070 warrants and 124,856 broker warrants from the February 7, 2021 private placements expired and were derecognized during the three and nine months ended September 30, 2024, which resulted in a non-cash gain on revaluation of warrants of $465 and $3,412, respectively, included in Net financial income.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Black-Scholes model and inputs below were used in determining the weighted average values of the warrants and broker warrants prior to their derecognition, which resulted in a non-cash loss on revaluation of warrants of $1,836 included in Net financial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 warrants and broker warrants</w:t>
            </w:r>
          </w:p>
        </w:tc>
        <w:tc>
          <w:tcPr>
            <w:tcW w:w="3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0"/>
        </w:trPr>
        <w:tc>
          <w:tcPr>
            <w:tcW w:w="4900" w:type="dxa"/>
            <w:vAlign w:val="bottom"/>
          </w:tcPr>
          <w:p>
            <w:pPr>
              <w:spacing w:after="0"/>
              <w:rPr>
                <w:sz w:val="24"/>
                <w:szCs w:val="24"/>
                <w:color w:val="auto"/>
              </w:rPr>
            </w:pPr>
          </w:p>
        </w:tc>
        <w:tc>
          <w:tcPr>
            <w:tcW w:w="3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 on</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8"/>
        </w:trPr>
        <w:tc>
          <w:tcPr>
            <w:tcW w:w="49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settlement of warrants</w:t>
            </w:r>
          </w:p>
        </w:tc>
        <w:tc>
          <w:tcPr>
            <w:tcW w:w="27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 at period end</w:t>
            </w:r>
          </w:p>
        </w:tc>
      </w:tr>
      <w:tr>
        <w:trPr>
          <w:trHeight w:val="187"/>
        </w:trPr>
        <w:tc>
          <w:tcPr>
            <w:tcW w:w="4900" w:type="dxa"/>
            <w:vAlign w:val="bottom"/>
          </w:tcPr>
          <w:p>
            <w:pPr>
              <w:spacing w:after="0"/>
              <w:rPr>
                <w:sz w:val="16"/>
                <w:szCs w:val="16"/>
                <w:color w:val="auto"/>
              </w:rPr>
            </w:pPr>
          </w:p>
        </w:tc>
        <w:tc>
          <w:tcPr>
            <w:tcW w:w="36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February 12 to 28,</w:t>
            </w:r>
          </w:p>
        </w:tc>
        <w:tc>
          <w:tcPr>
            <w:tcW w:w="140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3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2.74</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2.15</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3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4.42</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2.85</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3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1.17</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3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(exercised) outstanding</w:t>
            </w:r>
          </w:p>
        </w:tc>
        <w:tc>
          <w:tcPr>
            <w:tcW w:w="3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(5,111,111)</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10,841,482</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15,952,593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28  Page</w:t>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WARRANT LIABILITIES </w:t>
            </w:r>
            <w:r>
              <w:rPr>
                <w:rFonts w:ascii="Times New Roman" w:cs="Times New Roman" w:eastAsia="Times New Roman" w:hAnsi="Times New Roman"/>
                <w:sz w:val="18"/>
                <w:szCs w:val="18"/>
                <w:color w:val="auto"/>
              </w:rPr>
              <w:t>(Continued)</w:t>
            </w:r>
          </w:p>
        </w:tc>
        <w:tc>
          <w:tcPr>
            <w:tcW w:w="35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2021 warrants and broker warrants</w:t>
            </w:r>
          </w:p>
        </w:tc>
        <w:tc>
          <w:tcPr>
            <w:tcW w:w="3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10"/>
        </w:trPr>
        <w:tc>
          <w:tcPr>
            <w:tcW w:w="10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10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10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35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5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5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5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3540" w:type="dxa"/>
            <w:vAlign w:val="bottom"/>
          </w:tcPr>
          <w:p>
            <w:pPr>
              <w:spacing w:after="0"/>
              <w:rPr>
                <w:sz w:val="18"/>
                <w:szCs w:val="18"/>
                <w:color w:val="auto"/>
              </w:rPr>
            </w:pP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35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3540" w:type="dxa"/>
            <w:vAlign w:val="bottom"/>
          </w:tcPr>
          <w:p>
            <w:pPr>
              <w:spacing w:after="0"/>
              <w:rPr>
                <w:sz w:val="18"/>
                <w:szCs w:val="18"/>
                <w:color w:val="auto"/>
              </w:rPr>
            </w:pP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35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0.32</w:t>
            </w:r>
          </w:p>
        </w:tc>
      </w:tr>
      <w:tr>
        <w:trPr>
          <w:trHeight w:val="223"/>
        </w:trPr>
        <w:tc>
          <w:tcPr>
            <w:tcW w:w="6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3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19,127,797</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10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10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financing</w:t>
            </w:r>
          </w:p>
        </w:tc>
        <w:tc>
          <w:tcPr>
            <w:tcW w:w="3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1,672</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3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1,672</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6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17"/>
        </w:trPr>
        <w:tc>
          <w:tcPr>
            <w:tcW w:w="60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3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1,530</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Movement in long-term debt is as follows:</w:t>
            </w:r>
          </w:p>
        </w:tc>
        <w:tc>
          <w:tcPr>
            <w:tcW w:w="3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10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10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10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nine-month period</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twelve-month period</w:t>
            </w:r>
          </w:p>
        </w:tc>
      </w:tr>
      <w:tr>
        <w:trPr>
          <w:trHeight w:val="216"/>
        </w:trPr>
        <w:tc>
          <w:tcPr>
            <w:tcW w:w="60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5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47,147</w:t>
            </w:r>
          </w:p>
        </w:tc>
      </w:tr>
      <w:tr>
        <w:trPr>
          <w:trHeight w:val="21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long-term debt</w:t>
            </w:r>
          </w:p>
        </w:tc>
        <w:tc>
          <w:tcPr>
            <w:tcW w:w="3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1,695</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5040" w:type="dxa"/>
            <w:vAlign w:val="bottom"/>
            <w:shd w:val="clear" w:color="auto" w:fill="CCEEFF"/>
          </w:tcPr>
          <w:p>
            <w:pPr>
              <w:spacing w:after="0"/>
              <w:rPr>
                <w:sz w:val="18"/>
                <w:szCs w:val="18"/>
                <w:color w:val="auto"/>
              </w:rPr>
            </w:pPr>
          </w:p>
        </w:tc>
        <w:tc>
          <w:tcPr>
            <w:tcW w:w="3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(4,280)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(33,233)</w:t>
            </w: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extinguishment of long-term debt</w:t>
            </w:r>
          </w:p>
        </w:tc>
        <w:tc>
          <w:tcPr>
            <w:tcW w:w="3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(12,580)</w:t>
            </w:r>
          </w:p>
        </w:tc>
      </w:tr>
      <w:tr>
        <w:trPr>
          <w:trHeight w:val="216"/>
        </w:trPr>
        <w:tc>
          <w:tcPr>
            <w:tcW w:w="60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35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235</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2,688</w:t>
            </w:r>
          </w:p>
        </w:tc>
      </w:tr>
      <w:tr>
        <w:trPr>
          <w:trHeight w:val="216"/>
        </w:trPr>
        <w:tc>
          <w:tcPr>
            <w:tcW w:w="6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3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1,672</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29  Page</w:t>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LONG-TERM DEBT (Continued)</w:t>
      </w:r>
    </w:p>
    <w:p>
      <w:pPr>
        <w:spacing w:after="0" w:line="22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Building financing</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March 2024, the Company sold its Garlock building in Sherbrooke, Quebec for $1,695 and immediately leased it back for 10 years. Since the lease agreement included a substantive repurchase option of the building in a form of a call option, the Company has not transferred the control of the asset to the buyer, and the transaction does not qualify as a sale. Accordingly, it is accounted for as a financing arrangement for the proceeds received from the buyer, and the building continues to be recognized as property, plant and equipment of the Company.</w:t>
      </w:r>
    </w:p>
    <w:p>
      <w:pPr>
        <w:spacing w:after="0" w:line="185" w:lineRule="exact"/>
        <w:rPr>
          <w:sz w:val="20"/>
          <w:szCs w:val="20"/>
          <w:color w:val="auto"/>
        </w:rPr>
      </w:pPr>
    </w:p>
    <w:p>
      <w:pPr>
        <w:ind w:left="20" w:right="8340" w:hanging="12"/>
        <w:spacing w:after="0" w:line="263" w:lineRule="auto"/>
        <w:tabs>
          <w:tab w:leader="none" w:pos="65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financing activity Repayment of NYDIG Loan</w:t>
      </w:r>
    </w:p>
    <w:p>
      <w:pPr>
        <w:jc w:val="both"/>
        <w:ind w:left="20" w:hanging="5"/>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2022, Backbone entered into an equipment financing agreement, referred to as the “NYDIG Loan”, for gross proceeds of $36,860 collateralized by 10,395 WhatsMiner M30S Miners. The net proceeds received by the Company were $36,123, net of origination and closing fees of $737. As part of the agreement, the Company was required to maintain in a segregated wallet an approximate quantity of BTC whose value equates to at least one month of interest and principal payments on the outstanding loan. The pledged BTC was held in a segregated Coinbase Custody account and owned by the Company unless there was an event of default under the NYDIG Loan.</w:t>
      </w:r>
    </w:p>
    <w:p>
      <w:pPr>
        <w:spacing w:after="0" w:line="187"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NYDIG Loan balance was fully repaid, and the Company’s Miners collateralizing the loan and BTC pledged as collateral became unencumbered.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Repayment of Foundry Loans #2, #3 and #4</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 April and May 2021, the Company entered into four loan agreements for the acquisition of 2,465 WhatsMiner Miners referred to as “Foundry Loans #1, #2, #3 and #4.” During 2022, Foundry Loan #1 matured and was fully repaid. In January 2023, the principal amounts of the remaining Foundry Loans #2, #3 and #4 were fully repaid before their maturity date with forgiveness of prepayment penalties totaling $829.</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Settlement of the loan with BlockFi Lending LLC (“BlockFi”)</w:t>
      </w:r>
    </w:p>
    <w:p>
      <w:pPr>
        <w:spacing w:after="0" w:line="31" w:lineRule="exact"/>
        <w:rPr>
          <w:sz w:val="20"/>
          <w:szCs w:val="20"/>
          <w:color w:val="auto"/>
        </w:rPr>
      </w:pPr>
    </w:p>
    <w:p>
      <w:pPr>
        <w:jc w:val="both"/>
        <w:ind w:left="20" w:right="20" w:hanging="4"/>
        <w:spacing w:after="0" w:line="255" w:lineRule="auto"/>
        <w:rPr>
          <w:sz w:val="20"/>
          <w:szCs w:val="20"/>
          <w:color w:val="auto"/>
        </w:rPr>
      </w:pPr>
      <w:r>
        <w:rPr>
          <w:rFonts w:ascii="Times New Roman" w:cs="Times New Roman" w:eastAsia="Times New Roman" w:hAnsi="Times New Roman"/>
          <w:sz w:val="18"/>
          <w:szCs w:val="18"/>
          <w:color w:val="auto"/>
        </w:rPr>
        <w:t>In February 2022, Backbone Mining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8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In December 2022, Backbone Mining ceased making installment payments, which constituted a default under the loan agreement, and the BlockFi Loan was classified as current.</w:t>
      </w:r>
    </w:p>
    <w:p>
      <w:pPr>
        <w:spacing w:after="0" w:line="16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February 8, 2023, BlockFi and the Company negotiated a settlement of the loan in its entirety with a then- outstanding debt balance of $20,330 for cash consideration of $7,750, discharging Backbone Mining of all further obligations and resulting in a gain on extinguishment of long-term debt of $12,580 recognized in Net financial (expenses) income in the consolidated statements of profit or loss and comprehensive profit or loss during the nine months ended September 30, 2023. Upon settlement, all of Backbone Mining’s assets, including the 6,100 Miners collateralizing the loan, were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30  Page</w:t>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 out below are the carrying amounts of the Company’s right-of-use (“ROU”) assets and lease liabilities and their activity during the nine months ended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30, 2024 and the year ended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2024</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13,762</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544</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15,850</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12,107</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119</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12,226</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9,226</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(194)</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(2,213)</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(373)</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(373)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930</w:t>
            </w:r>
          </w:p>
        </w:tc>
      </w:tr>
      <w:tr>
        <w:trPr>
          <w:trHeight w:val="216"/>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r>
      <w:tr>
        <w:trPr>
          <w:trHeight w:val="20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23,486</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469</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23,955</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22,283</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w:t>
            </w:r>
          </w:p>
        </w:tc>
      </w:tr>
      <w:tr>
        <w:trPr>
          <w:trHeight w:val="217"/>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lease liabilities</w:t>
            </w: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19,974</w:t>
            </w:r>
          </w:p>
        </w:tc>
      </w:tr>
      <w:tr>
        <w:trPr>
          <w:trHeight w:val="410"/>
        </w:trPr>
        <w:tc>
          <w:tcPr>
            <w:tcW w:w="4060" w:type="dxa"/>
            <w:vAlign w:val="bottom"/>
          </w:tcPr>
          <w:p>
            <w:pPr>
              <w:spacing w:after="0"/>
              <w:rPr>
                <w:sz w:val="24"/>
                <w:szCs w:val="24"/>
                <w:color w:val="auto"/>
              </w:rPr>
            </w:pP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24"/>
                <w:szCs w:val="24"/>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15,694</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265</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405</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16,364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17,864</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1,020</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534</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1,554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to property, plant and equipment</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(364)</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(2,952)</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(213)</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(3,197)</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lease liabilities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1,391</w:t>
            </w:r>
          </w:p>
        </w:tc>
      </w:tr>
      <w:tr>
        <w:trPr>
          <w:trHeight w:val="216"/>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r>
      <w:tr>
        <w:trPr>
          <w:trHeight w:val="20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13,762</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544</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14,315</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15,850</w:t>
            </w: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r>
      <w:tr>
        <w:trPr>
          <w:trHeight w:val="217"/>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12,993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Sharon lease agreement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27, 2024, the Company entered into an agreement to lease an industrialized site in Sharon, Pennsylvania, providing the Company immediate capacity of 12 MW of electricity and potential up to an additional 98 MW for a total 110 MW of development capacity by 2025.</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signing the lease agreement, the Company issued 1,532,745 common shares with a total value of $3,000 as a non-refundable deposit which was capitalized as part of the ROU asset. The initial lease term is five years with options to renew for a total of seventeen years along with an option to purchase the site at fair market value through the lease term or upon a change of control, as defined therein. The lease has variable minimum monthly payments increasing over the term of the lease from $33 to $138, with annual adjustments beginning after the third year. Prior to June 30, 2026, monthly lease payments can fluctuate based on the energized MW.</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initial recognition, the Company recognized $11,390 of ROU asset and $8,240 of lease liability with the difference of $3,000 recorded in share capital as explained above and in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31  Page</w:t>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w:t>
      </w:r>
    </w:p>
    <w:p>
      <w:pPr>
        <w:spacing w:after="0" w:line="18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As at September 30, 2024, the Company has analyzed the recoverability of its deferred tax assets and has concluded that it is not more likely than not that sufficient taxable profit is expected to utilize these deferred tax assets.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Current and deferred income tax (expense) recovery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40" w:type="dxa"/>
            <w:vAlign w:val="bottom"/>
          </w:tcPr>
          <w:p>
            <w:pPr>
              <w:spacing w:after="0"/>
              <w:rPr>
                <w:sz w:val="18"/>
                <w:szCs w:val="18"/>
                <w:color w:val="auto"/>
              </w:rPr>
            </w:pPr>
          </w:p>
        </w:tc>
      </w:tr>
      <w:tr>
        <w:trPr>
          <w:trHeight w:val="238"/>
        </w:trPr>
        <w:tc>
          <w:tcPr>
            <w:tcW w:w="106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Borders>
              <w:bottom w:val="single" w:sz="8" w:color="auto"/>
            </w:tcBorders>
          </w:tcPr>
          <w:p>
            <w:pPr>
              <w:spacing w:after="0"/>
              <w:rPr>
                <w:sz w:val="20"/>
                <w:szCs w:val="20"/>
                <w:color w:val="auto"/>
              </w:rPr>
            </w:pPr>
          </w:p>
        </w:tc>
      </w:tr>
      <w:tr>
        <w:trPr>
          <w:trHeight w:val="210"/>
        </w:trPr>
        <w:tc>
          <w:tcPr>
            <w:tcW w:w="106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8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tax (expense) recovery:</w:t>
            </w:r>
          </w:p>
        </w:tc>
        <w:tc>
          <w:tcPr>
            <w:tcW w:w="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7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(258)</w:t>
            </w:r>
          </w:p>
        </w:tc>
        <w:tc>
          <w:tcPr>
            <w:tcW w:w="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18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(258)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year</w:t>
            </w:r>
          </w:p>
        </w:tc>
        <w:tc>
          <w:tcPr>
            <w:tcW w:w="70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262</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0"/>
        </w:trPr>
        <w:tc>
          <w:tcPr>
            <w:tcW w:w="1060" w:type="dxa"/>
            <w:vAlign w:val="bottom"/>
            <w:tcBorders>
              <w:bottom w:val="single" w:sz="8" w:color="auto"/>
            </w:tcBorders>
            <w:shd w:val="clear" w:color="auto" w:fill="CCEEFF"/>
          </w:tcPr>
          <w:p>
            <w:pPr>
              <w:spacing w:after="0"/>
              <w:rPr>
                <w:sz w:val="18"/>
                <w:szCs w:val="18"/>
                <w:color w:val="auto"/>
              </w:rPr>
            </w:pPr>
          </w:p>
        </w:tc>
        <w:tc>
          <w:tcPr>
            <w:tcW w:w="7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(258)</w:t>
            </w:r>
          </w:p>
        </w:tc>
        <w:tc>
          <w:tcPr>
            <w:tcW w:w="8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184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09"/>
        </w:trPr>
        <w:tc>
          <w:tcPr>
            <w:tcW w:w="10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recovery (expense):</w:t>
            </w:r>
          </w:p>
        </w:tc>
        <w:tc>
          <w:tcPr>
            <w:tcW w:w="8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70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260</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(297)</w:t>
            </w:r>
          </w:p>
        </w:tc>
        <w:tc>
          <w:tcPr>
            <w:tcW w:w="18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4,579</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1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w:t>
            </w:r>
          </w:p>
        </w:tc>
        <w:tc>
          <w:tcPr>
            <w:tcW w:w="700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06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260</w:t>
            </w: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(297)</w:t>
            </w:r>
          </w:p>
        </w:tc>
        <w:tc>
          <w:tcPr>
            <w:tcW w:w="18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4,579</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r>
      <w:tr>
        <w:trPr>
          <w:trHeight w:val="217"/>
        </w:trPr>
        <w:tc>
          <w:tcPr>
            <w:tcW w:w="1060" w:type="dxa"/>
            <w:vAlign w:val="bottom"/>
            <w:tcBorders>
              <w:bottom w:val="single" w:sz="8" w:color="auto"/>
            </w:tcBorders>
            <w:shd w:val="clear" w:color="auto" w:fill="CCEEFF"/>
          </w:tcPr>
          <w:p>
            <w:pPr>
              <w:spacing w:after="0"/>
              <w:rPr>
                <w:sz w:val="18"/>
                <w:szCs w:val="18"/>
                <w:color w:val="auto"/>
              </w:rPr>
            </w:pPr>
          </w:p>
        </w:tc>
        <w:tc>
          <w:tcPr>
            <w:tcW w:w="700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w:t>
            </w:r>
          </w:p>
        </w:tc>
        <w:tc>
          <w:tcPr>
            <w:tcW w:w="8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(401)</w:t>
            </w:r>
          </w:p>
        </w:tc>
        <w:tc>
          <w:tcPr>
            <w:tcW w:w="184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4,583</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18:</w:t>
            </w:r>
          </w:p>
        </w:tc>
        <w:tc>
          <w:tcPr>
            <w:tcW w:w="7000" w:type="dxa"/>
            <w:vAlign w:val="bottom"/>
          </w:tcPr>
          <w:p>
            <w:pPr>
              <w:jc w:val="right"/>
              <w:ind w:right="531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without par value. As of September 30, 2024, the Company had 452,935,321 issued and outstanding common shares (December 31, 2023: 334,153,330).</w:t>
      </w:r>
    </w:p>
    <w:p>
      <w:pPr>
        <w:spacing w:after="0" w:line="179"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At-The-Market Equity Offering Program (“ATM Program”)</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Bitfarms commenced an at-the-market equity offering program on March 11, 2024 (the “2024 ATM Program”), pursuant to which the Company may, at its discretion and from time-to-time, sell common shares of the Company, resulting in the Company receiving aggregate gross proceeds of up to $375,000.</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issued 109,323,321 common shares in the 2024 ATM Program in exchange for gross proceeds of $248,125 at an average share price of approximately $2.27. The Company received net proceeds of $240,331 after paying commissions of $7,444 to the sales agent for the 2024 ATM Program and $350 in other transaction costs. The Company capitalized $939 of professional fees and registration expenses to initiate the 2024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32  Page</w:t>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Common shares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At-The-Market Equity Offering Program (“ATM Program”)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issued 52,120,899 common shares in its at-the-market equity offering program that commenced on August 16, 2021 (“the 2021 ATM Program”) in exchange for gross proceeds of $70,770 at an average share price of approximately $1.36. The Company received net proceeds of $68,504 after paying commissions of $2,187 to the sales agent for the 2021 ATM Program and $79 in other transaction costs.</w:t>
      </w:r>
    </w:p>
    <w:p>
      <w:pPr>
        <w:spacing w:after="0" w:line="18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ind w:hanging="4"/>
        <w:spacing w:after="0" w:line="260" w:lineRule="auto"/>
        <w:rPr>
          <w:sz w:val="20"/>
          <w:szCs w:val="20"/>
          <w:color w:val="auto"/>
        </w:rPr>
      </w:pPr>
      <w:r>
        <w:rPr>
          <w:rFonts w:ascii="Times New Roman" w:cs="Times New Roman" w:eastAsia="Times New Roman" w:hAnsi="Times New Roman"/>
          <w:sz w:val="18"/>
          <w:szCs w:val="18"/>
          <w:color w:val="auto"/>
        </w:rPr>
        <w:t>During the nine months ended September 30, 2024, option holders exercised stock options to acquire 2,448,148 common shares (nine months ended September 30, 2023: 400,875) resulting in proceeds of approximately $2,634 (nine months ended September 30, 2023: $162) being paid to the Company.</w:t>
      </w:r>
    </w:p>
    <w:p>
      <w:pPr>
        <w:spacing w:after="0" w:line="179"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Warrants</w:t>
      </w:r>
    </w:p>
    <w:p>
      <w:pPr>
        <w:spacing w:after="0" w:line="29"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In February 2024, 5,000,000 warrants and 111,111 broker warrants related to the 2023 private placement were exercised resulting in the issuance of 5,111,111 common shares for proceeds of approximately $5,986.</w:t>
      </w:r>
    </w:p>
    <w:p>
      <w:pPr>
        <w:spacing w:after="0" w:line="179"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Shareholder rights plan</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10, 2024, the Board approved a shareholder rights plan (the “June 2024 Rights Plan”). On July 24, 2024, the Capital Markets Tribunal of the Ontario Securities Commission issued an order to cease trading any securities issued, or that may be issued, in connection with or pursuant to the June 2024 Rights plan. Also on July 24, 2024, the Board approved the adoption of a new shareholder rights plan (the “July 2024 Rights Plan”), pursuant to which one right (a “Right”) will be issued and attached to each common share outstanding as at August 6, 2024 (the “Record Time”). A Right will also be attached to each common share issued after the Record Time. Subject to the terms of the July 2024 Rights Plan, the Rights become exercisable if a person (the “Acquiring Person”), along with certain related persons (including persons “acting jointly or in concert” as defined in the July 2024 Rights Plan), acquires or announces its intention to acquire 20% or more of the common shares without complying with the “Permitted Bid” provisions of the July 2024 Rights Plan. Following a transaction that results in a person becoming an Acquiring Person, the Rights entitle the holder thereof to purchase common shares at a significant discount to the market price. The July 2024 Rights Plan is subject to the acceptance of the Toronto Stock Exchange (the “TSX”) and shareholder ratification within six months of its adoption. The TSX has notified the Company that the TSX will defer its consideration of the acceptance of the July 2024 Rights Plan until (a) such time as it is satisfied that the appropriate securities commission will not intervene pursuant to National Policy 62-202 and</w:t>
      </w:r>
    </w:p>
    <w:p>
      <w:pPr>
        <w:spacing w:after="0" w:line="4" w:lineRule="exact"/>
        <w:rPr>
          <w:sz w:val="20"/>
          <w:szCs w:val="20"/>
          <w:color w:val="auto"/>
        </w:rPr>
      </w:pPr>
    </w:p>
    <w:p>
      <w:pPr>
        <w:jc w:val="both"/>
        <w:ind w:firstLine="8"/>
        <w:spacing w:after="0" w:line="255" w:lineRule="auto"/>
        <w:tabs>
          <w:tab w:leader="none" w:pos="2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2024 Rights Plan is ratified by the shareholders of the Company by no later than January 24, 2025. A deferral of acceptance of the July 2024 Rights Plan by the TSX will not affect the adoption or operation of the July 2024 Rights Plan. The Board has recommended that shareholders of the Company ratify the July 2024 Rights Plan at the Company’s upcoming special meeting of shareholders to be held on November 20, 2024.</w:t>
      </w:r>
    </w:p>
    <w:p>
      <w:pPr>
        <w:spacing w:after="0" w:line="184"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Sharon Lease Agreement</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27, 2024, the Company entered into an agreement to lease an industrialized site in Sharon, Pennsylvania and issued 1,532,745 common shares with a total value of $3,000 as a non-refundable deposit. Refer to Note 16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33  Page</w:t>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8"/>
          <w:szCs w:val="18"/>
          <w:b w:val="1"/>
          <w:bCs w:val="1"/>
          <w:color w:val="auto"/>
        </w:rPr>
        <w:t>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categories and fair value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6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72,913</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1,473</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593</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Refundable deposit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7,125</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and loss</w:t>
            </w: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6,996</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10"/>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89,100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86,722</w:t>
            </w:r>
          </w:p>
        </w:tc>
      </w:tr>
      <w:tr>
        <w:trPr>
          <w:trHeight w:val="209"/>
        </w:trPr>
        <w:tc>
          <w:tcPr>
            <w:tcW w:w="56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31,690</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1,672</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56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and loss</w:t>
            </w: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14,327</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r>
        <w:trPr>
          <w:trHeight w:val="210"/>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47,689</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53,525</w:t>
            </w:r>
          </w:p>
        </w:tc>
      </w:tr>
      <w:tr>
        <w:trPr>
          <w:trHeight w:val="210"/>
        </w:trPr>
        <w:tc>
          <w:tcPr>
            <w:tcW w:w="56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3"/>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carrying amount and fair value</w:t>
            </w:r>
          </w:p>
        </w:tc>
        <w:tc>
          <w:tcPr>
            <w:tcW w:w="2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41,411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33,197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trade receivables, other receivables, Refundable deposit, trade payables and accrued liabilities, and long-term debt presented in the table above are a reasonable approximation of their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option contracts is categorized as Level 2 in the fair value hierarchy and is presented under derivative assets and liabilities in the consolidated statements of financial position when there is an outstanding contract at period end. Their fair values are a recurring measurement. Fair value of derivative financial instruments generally reflects the estimated amounts that the Company would receive or pay, taking into consideration the counterparty credit risk or the Company’s credit risk at each reporting date. The Company uses market data such as BTC option futures to estimate the fair value of option contracts at each reporting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 liabilities related to the 2021 and 2023 private placements are classified as financial liabilities at fair value through profit or loss with the change in fair value recorded to Net financial income. The fair value measurement is categorized as Level 2 in the fair value hierarchy, is a recurring measurement and is calculated using a Black-Scholes pricing model at each reporting date. Refer to Note 14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34  Page</w:t>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Refundable deposit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Refundable deposit is measured at amortized cost using the effective interest rate method. It is classified as Level 2 according to the Company’s fair value hierarchy. The valuation technique used is the income approach (discounted future cash flows) with an effective interest rate of 12% over a 16-month period, which is greater than the SOFR + 1% rate in the Hosting Agreement, resulting in the deposit being issued at a fair value of $7,125 which is lower than the $7,800 principal amount. Upon initial recognition, the difference between the fair value and principal of $675 was recognized as a loss in Net financial income during the three and nine months ended September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12 for more details.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20:</w:t>
            </w: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TRANSACTIONS AND BALANCES WITH RELATED PARTIES</w:t>
            </w:r>
          </w:p>
        </w:tc>
        <w:tc>
          <w:tcPr>
            <w:tcW w:w="24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details balances payable to related parties:</w:t>
            </w:r>
          </w:p>
        </w:tc>
        <w:tc>
          <w:tcPr>
            <w:tcW w:w="24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100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1000" w:type="dxa"/>
            <w:vAlign w:val="bottom"/>
            <w:tcBorders>
              <w:bottom w:val="single" w:sz="8" w:color="auto"/>
            </w:tcBorders>
          </w:tcPr>
          <w:p>
            <w:pPr>
              <w:spacing w:after="0"/>
              <w:rPr>
                <w:sz w:val="18"/>
                <w:szCs w:val="18"/>
                <w:color w:val="auto"/>
              </w:rPr>
            </w:pPr>
          </w:p>
        </w:tc>
        <w:tc>
          <w:tcPr>
            <w:tcW w:w="6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payables and accrued liabilities</w:t>
            </w:r>
          </w:p>
        </w:tc>
        <w:tc>
          <w:tcPr>
            <w:tcW w:w="24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2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7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Director and senior management incentive plan</w:t>
            </w:r>
          </w:p>
        </w:tc>
        <w:tc>
          <w:tcPr>
            <w:tcW w:w="2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r>
      <w:tr>
        <w:trPr>
          <w:trHeight w:val="217"/>
        </w:trPr>
        <w:tc>
          <w:tcPr>
            <w:tcW w:w="1000" w:type="dxa"/>
            <w:vAlign w:val="bottom"/>
            <w:tcBorders>
              <w:bottom w:val="single" w:sz="8" w:color="auto"/>
            </w:tcBorders>
            <w:shd w:val="clear" w:color="auto" w:fill="CCEEFF"/>
          </w:tcPr>
          <w:p>
            <w:pPr>
              <w:spacing w:after="0"/>
              <w:rPr>
                <w:sz w:val="18"/>
                <w:szCs w:val="18"/>
                <w:color w:val="auto"/>
              </w:rPr>
            </w:pPr>
          </w:p>
        </w:tc>
        <w:tc>
          <w:tcPr>
            <w:tcW w:w="616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due to related parties are unsecured, non-interest bearing and payable on demand.</w:t>
      </w:r>
    </w:p>
    <w:p>
      <w:pPr>
        <w:spacing w:after="0" w:line="225"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In March 2024, the Board terminated the employment agreement of the former Company’s Chief Executive Officer (“CEO”). It was planned that the former CEO would depart upon completion of an executive search and would lead the Company during the interim; however, on May 13, 2024, the Company announced the acceleration of the termination of the former CEO effective immediately. A termination payment under the former CEO’s employment agreement totaling $1,614 was accrued during the first quarter of 2024 and paid during the second quarter of 2024 after the former CEO’s departure. On May 10, 2024, the former CEO filed a Statement of Claim in the Superior Court of Ontario against the Company which was settled during the three months ended September 30, 2024 for an additional payment of $2,500 and ending any outstanding litigation or claim.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described above occurred in the normal course of operations and recognized in profit or loss under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35  Page</w:t>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left="20" w:right="20" w:hanging="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potentially dilutive securities have not been included in the calculation of diluted loss per share because their effect is anti-dilutive. The additional potentially dilutive securities that would have been included in the calculation of diluted earnings per share, had their effect not been anti-dilutive for the three and nine months ended September 30, 2024, would have totaled approximately 12,032,048 and 13,369,464, respectively (three and nine months ended September 30, 2023: 4,343,126 and 3,951,876, respectively).</w:t>
      </w:r>
    </w:p>
    <w:p>
      <w:pPr>
        <w:spacing w:after="0" w:line="17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share-based payment expense related to stock options and restricted stock units (“RSU”) for employees, directors, consultants and former employees received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60" w:type="dxa"/>
            <w:vAlign w:val="bottom"/>
          </w:tcPr>
          <w:p>
            <w:pPr>
              <w:spacing w:after="0"/>
              <w:rPr>
                <w:sz w:val="18"/>
                <w:szCs w:val="18"/>
                <w:color w:val="auto"/>
              </w:rPr>
            </w:pPr>
          </w:p>
        </w:tc>
      </w:tr>
      <w:tr>
        <w:trPr>
          <w:trHeight w:val="238"/>
        </w:trPr>
        <w:tc>
          <w:tcPr>
            <w:tcW w:w="47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r>
      <w:tr>
        <w:trPr>
          <w:trHeight w:val="210"/>
        </w:trPr>
        <w:tc>
          <w:tcPr>
            <w:tcW w:w="47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8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332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5,159</w:t>
            </w:r>
          </w:p>
        </w:tc>
        <w:tc>
          <w:tcPr>
            <w:tcW w:w="7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2,011</w:t>
            </w:r>
          </w:p>
        </w:tc>
        <w:tc>
          <w:tcPr>
            <w:tcW w:w="186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9,928</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the Board approved stock option grants to purchase 8,410,000 common shares in accordance with the Long-Term Incentive Plan (the “LTIP Plan”) adopted on May 18, 2021 (nine months ended September 30, 2023: 8,471,250 common shares). All options issued according to the LTIP Plan become exercisable when they vest and can be exercised for a maximum period of 5 years from the date of the grant.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stock options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840" w:type="dxa"/>
            <w:vAlign w:val="bottom"/>
            <w:tcBorders>
              <w:bottom w:val="single" w:sz="8" w:color="auto"/>
            </w:tcBorders>
          </w:tcPr>
          <w:p>
            <w:pPr>
              <w:spacing w:after="0"/>
              <w:rPr>
                <w:sz w:val="20"/>
                <w:szCs w:val="20"/>
                <w:color w:val="auto"/>
              </w:rPr>
            </w:pPr>
          </w:p>
        </w:tc>
      </w:tr>
      <w:tr>
        <w:trPr>
          <w:trHeight w:val="210"/>
        </w:trPr>
        <w:tc>
          <w:tcPr>
            <w:tcW w:w="36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3660" w:type="dxa"/>
            <w:vAlign w:val="bottom"/>
          </w:tcPr>
          <w:p>
            <w:pPr>
              <w:spacing w:after="0"/>
              <w:rPr>
                <w:sz w:val="16"/>
                <w:szCs w:val="16"/>
                <w:color w:val="auto"/>
              </w:rPr>
            </w:pPr>
          </w:p>
        </w:tc>
        <w:tc>
          <w:tcPr>
            <w:tcW w:w="248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2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Number of</w:t>
            </w:r>
          </w:p>
        </w:tc>
        <w:tc>
          <w:tcPr>
            <w:tcW w:w="18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 Average</w:t>
            </w:r>
          </w:p>
        </w:tc>
      </w:tr>
      <w:tr>
        <w:trPr>
          <w:trHeight w:val="238"/>
        </w:trPr>
        <w:tc>
          <w:tcPr>
            <w:tcW w:w="36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Exercise Price ($CAD)</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Options</w:t>
            </w: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Exercise Price ($CAD)</w:t>
            </w:r>
          </w:p>
        </w:tc>
      </w:tr>
      <w:tr>
        <w:trPr>
          <w:trHeight w:val="210"/>
        </w:trPr>
        <w:tc>
          <w:tcPr>
            <w:tcW w:w="3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20,939,387</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2.41</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21,804,233</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8,410,000</w:t>
            </w:r>
          </w:p>
        </w:tc>
        <w:tc>
          <w:tcPr>
            <w:tcW w:w="2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2.99</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8,471,250</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(2,448,148)</w:t>
            </w: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(400,875)</w:t>
            </w: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(10,535,000)</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(105,000)</w:t>
            </w: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2.95</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(296,250)</w:t>
            </w: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5.90</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r>
      <w:tr>
        <w:trPr>
          <w:trHeight w:val="217"/>
        </w:trPr>
        <w:tc>
          <w:tcPr>
            <w:tcW w:w="3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September 30,</w:t>
            </w:r>
          </w:p>
        </w:tc>
        <w:tc>
          <w:tcPr>
            <w:tcW w:w="2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26,499,989</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2.64</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18,999,608</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Exercisable, September 30,</w:t>
            </w:r>
          </w:p>
        </w:tc>
        <w:tc>
          <w:tcPr>
            <w:tcW w:w="2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11,251,873</w:t>
            </w: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1.79</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3,034,908</w:t>
            </w: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outstanding stock options as of September 30, 2024 was 3.9 years (September 30, 2023: 4.0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36  Page</w:t>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SHARE-BASED PAYMENTS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inputs used to value the option grants using the Black-Scholes model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31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May 22,</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August 23,</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5,</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38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4.64%</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238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Pr>
          <w:p>
            <w:pPr>
              <w:spacing w:after="0"/>
              <w:rPr>
                <w:sz w:val="18"/>
                <w:szCs w:val="18"/>
                <w:color w:val="auto"/>
              </w:rPr>
            </w:pP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2.55</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3.07</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238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2.55</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3.07</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(USD)</w:t>
            </w:r>
          </w:p>
        </w:tc>
        <w:tc>
          <w:tcPr>
            <w:tcW w:w="2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0.97</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1.16</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 (years)</w:t>
            </w:r>
          </w:p>
        </w:tc>
        <w:tc>
          <w:tcPr>
            <w:tcW w:w="238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tcPr>
          <w:p>
            <w:pPr>
              <w:spacing w:after="0"/>
              <w:rPr>
                <w:sz w:val="18"/>
                <w:szCs w:val="18"/>
                <w:color w:val="auto"/>
              </w:rPr>
            </w:pP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1.5</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316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330,000</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400,000</w:t>
            </w:r>
          </w:p>
        </w:tc>
        <w:tc>
          <w:tcPr>
            <w:tcW w:w="1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480,000</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7,200,000</w:t>
            </w: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Share Units (“RSU’’)</w:t>
            </w:r>
          </w:p>
        </w:tc>
        <w:tc>
          <w:tcPr>
            <w:tcW w:w="2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RSUs are as follows:</w:t>
            </w:r>
          </w:p>
        </w:tc>
        <w:tc>
          <w:tcPr>
            <w:tcW w:w="2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4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20" w:type="dxa"/>
            <w:vAlign w:val="bottom"/>
            <w:tcBorders>
              <w:bottom w:val="single" w:sz="8" w:color="auto"/>
            </w:tcBorders>
          </w:tcPr>
          <w:p>
            <w:pPr>
              <w:spacing w:after="0"/>
              <w:rPr>
                <w:sz w:val="24"/>
                <w:szCs w:val="24"/>
                <w:color w:val="auto"/>
              </w:rPr>
            </w:pPr>
          </w:p>
        </w:tc>
      </w:tr>
      <w:tr>
        <w:trPr>
          <w:trHeight w:val="210"/>
        </w:trPr>
        <w:tc>
          <w:tcPr>
            <w:tcW w:w="4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4140" w:type="dxa"/>
            <w:vAlign w:val="bottom"/>
          </w:tcPr>
          <w:p>
            <w:pPr>
              <w:spacing w:after="0"/>
              <w:rPr>
                <w:sz w:val="16"/>
                <w:szCs w:val="16"/>
                <w:color w:val="auto"/>
              </w:rPr>
            </w:pPr>
          </w:p>
        </w:tc>
        <w:tc>
          <w:tcPr>
            <w:tcW w:w="23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60" w:type="dxa"/>
            <w:vAlign w:val="bottom"/>
            <w:gridSpan w:val="2"/>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Number of</w:t>
            </w:r>
          </w:p>
        </w:tc>
        <w:tc>
          <w:tcPr>
            <w:tcW w:w="178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Weighted Average</w:t>
            </w:r>
          </w:p>
        </w:tc>
      </w:tr>
      <w:tr>
        <w:trPr>
          <w:trHeight w:val="238"/>
        </w:trPr>
        <w:tc>
          <w:tcPr>
            <w:tcW w:w="4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RSUs</w:t>
            </w:r>
          </w:p>
        </w:tc>
        <w:tc>
          <w:tcPr>
            <w:tcW w:w="206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Grant Price ($CAD)</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RSUs</w:t>
            </w:r>
          </w:p>
        </w:tc>
        <w:tc>
          <w:tcPr>
            <w:tcW w:w="17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Grant Price ($CAD)</w:t>
            </w:r>
          </w:p>
        </w:tc>
      </w:tr>
      <w:tr>
        <w:trPr>
          <w:trHeight w:val="209"/>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624,998</w:t>
            </w:r>
          </w:p>
        </w:tc>
        <w:tc>
          <w:tcPr>
            <w:tcW w:w="7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4.05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706,000</w:t>
            </w:r>
          </w:p>
        </w:tc>
        <w:tc>
          <w:tcPr>
            <w:tcW w:w="780" w:type="dxa"/>
            <w:vAlign w:val="bottom"/>
          </w:tcPr>
          <w:p>
            <w:pPr>
              <w:spacing w:after="0"/>
              <w:rPr>
                <w:sz w:val="18"/>
                <w:szCs w:val="18"/>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3.27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(366,666)</w:t>
            </w:r>
          </w:p>
        </w:tc>
        <w:tc>
          <w:tcPr>
            <w:tcW w:w="7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3.62</w:t>
            </w:r>
          </w:p>
        </w:tc>
        <w:tc>
          <w:tcPr>
            <w:tcW w:w="134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(141,668)</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r>
      <w:tr>
        <w:trPr>
          <w:trHeight w:val="210"/>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September 30,</w:t>
            </w:r>
          </w:p>
        </w:tc>
        <w:tc>
          <w:tcPr>
            <w:tcW w:w="2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964,332</w:t>
            </w: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3.64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258,332</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Board approved the grant of 706,000 RSUs (nine months ended September 30, 2023: nil) to certain members of executive management, which vest between 33% and 50% after approximately one month from the grant date and an additional 25% to 33% approximately every 6 months. The weighted average value of the RSUs on the grant date was $2.41 per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37  Page</w:t>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ADDITIONAL DETAILS TO THE STATEMENT OF PROFIT OR LOSS AND COMPREHENSIVE PROFIT OR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0"/>
        </w:trPr>
        <w:tc>
          <w:tcPr>
            <w:tcW w:w="4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Borders>
              <w:bottom w:val="single" w:sz="8" w:color="auto"/>
            </w:tcBorders>
          </w:tcPr>
          <w:p>
            <w:pPr>
              <w:spacing w:after="0"/>
              <w:rPr>
                <w:sz w:val="20"/>
                <w:szCs w:val="20"/>
                <w:color w:val="auto"/>
              </w:rPr>
            </w:pPr>
          </w:p>
        </w:tc>
      </w:tr>
      <w:tr>
        <w:trPr>
          <w:trHeight w:val="209"/>
        </w:trPr>
        <w:tc>
          <w:tcPr>
            <w:tcW w:w="4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9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118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a</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(26,716)</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(20,396)</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(68,420)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(57,339)</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energy and infrastructure</w:t>
            </w: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b</w:t>
            </w:r>
          </w:p>
        </w:tc>
        <w:tc>
          <w:tcPr>
            <w:tcW w:w="19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17,017</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(21,767)</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b</w:t>
            </w:r>
          </w:p>
        </w:tc>
        <w:tc>
          <w:tcPr>
            <w:tcW w:w="19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8,760</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18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a</w:t>
            </w:r>
          </w:p>
        </w:tc>
        <w:tc>
          <w:tcPr>
            <w:tcW w:w="192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(1,097)</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(1,299)</w:t>
            </w: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(2,678)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r>
      <w:tr>
        <w:trPr>
          <w:trHeight w:val="209"/>
        </w:trPr>
        <w:tc>
          <w:tcPr>
            <w:tcW w:w="4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(43,462)</w:t>
            </w: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(123,384)</w:t>
            </w:r>
          </w:p>
        </w:tc>
      </w:tr>
      <w:tr>
        <w:trPr>
          <w:trHeight w:val="42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0"/>
        </w:trPr>
        <w:tc>
          <w:tcPr>
            <w:tcW w:w="4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Borders>
              <w:bottom w:val="single" w:sz="8" w:color="auto"/>
            </w:tcBorders>
          </w:tcPr>
          <w:p>
            <w:pPr>
              <w:spacing w:after="0"/>
              <w:rPr>
                <w:sz w:val="20"/>
                <w:szCs w:val="20"/>
                <w:color w:val="auto"/>
              </w:rPr>
            </w:pPr>
          </w:p>
        </w:tc>
      </w:tr>
      <w:tr>
        <w:trPr>
          <w:trHeight w:val="209"/>
        </w:trPr>
        <w:tc>
          <w:tcPr>
            <w:tcW w:w="4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9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11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(7,441)</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(2,928)</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(17,520)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80" w:type="dxa"/>
            <w:vAlign w:val="bottom"/>
          </w:tcPr>
          <w:p>
            <w:pPr>
              <w:spacing w:after="0"/>
              <w:rPr>
                <w:sz w:val="18"/>
                <w:szCs w:val="18"/>
                <w:color w:val="auto"/>
              </w:rPr>
            </w:pP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(5,159)</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(9,928)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(11,738)</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(1,795)</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(19,091)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professional services</w:t>
            </w: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b</w:t>
            </w:r>
          </w:p>
        </w:tc>
        <w:tc>
          <w:tcPr>
            <w:tcW w:w="19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1,389</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1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(2,329)</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(1,165)</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(6,722)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1180" w:type="dxa"/>
            <w:vAlign w:val="bottom"/>
          </w:tcPr>
          <w:p>
            <w:pPr>
              <w:spacing w:after="0"/>
              <w:rPr>
                <w:sz w:val="18"/>
                <w:szCs w:val="18"/>
                <w:color w:val="auto"/>
              </w:rPr>
            </w:pP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(536)</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(295)</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(1,248)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11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(65)</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(105)</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(218)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180" w:type="dxa"/>
            <w:vAlign w:val="bottom"/>
          </w:tcPr>
          <w:p>
            <w:pPr>
              <w:spacing w:after="0"/>
              <w:rPr>
                <w:sz w:val="18"/>
                <w:szCs w:val="18"/>
                <w:color w:val="auto"/>
              </w:rPr>
            </w:pP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(73)</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(613)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other general and administrative expenses</w:t>
            </w:r>
          </w:p>
        </w:tc>
        <w:tc>
          <w:tcPr>
            <w:tcW w:w="118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b</w:t>
            </w:r>
          </w:p>
        </w:tc>
        <w:tc>
          <w:tcPr>
            <w:tcW w:w="19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753</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(27,600)</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(8,372)</w:t>
            </w: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(53,198)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38  Page</w:t>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20" w:right="20" w:hanging="9"/>
        <w:spacing w:after="0" w:line="263" w:lineRule="auto"/>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 xml:space="preserve"> </w:t>
      </w:r>
      <w:r>
        <w:rPr>
          <w:rFonts w:ascii="Times New Roman" w:cs="Times New Roman" w:eastAsia="Times New Roman" w:hAnsi="Times New Roman"/>
          <w:sz w:val="18"/>
          <w:szCs w:val="18"/>
          <w:b w:val="1"/>
          <w:bCs w:val="1"/>
          <w:color w:val="auto"/>
        </w:rPr>
        <w:t xml:space="preserve">ADDITIONAL DETAILS TO THE STATEMENT OF PROFIT OR LOSS AND COMPREHENSIVE PROFIT OR LOSS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financial income</w:t>
            </w:r>
          </w:p>
        </w:tc>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38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12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6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2023 (restated</w:t>
            </w: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2023 (restated</w:t>
            </w:r>
          </w:p>
        </w:tc>
        <w:tc>
          <w:tcPr>
            <w:tcW w:w="0" w:type="dxa"/>
            <w:vAlign w:val="bottom"/>
          </w:tcPr>
          <w:p>
            <w:pPr>
              <w:spacing w:after="0"/>
              <w:rPr>
                <w:sz w:val="1"/>
                <w:szCs w:val="1"/>
                <w:color w:val="auto"/>
              </w:rPr>
            </w:pPr>
          </w:p>
        </w:tc>
      </w:tr>
      <w:tr>
        <w:trPr>
          <w:trHeight w:val="234"/>
        </w:trPr>
        <w:tc>
          <w:tcPr>
            <w:tcW w:w="4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Note 3d)</w:t>
            </w:r>
          </w:p>
        </w:tc>
        <w:tc>
          <w:tcPr>
            <w:tcW w:w="110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Note 3d)</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revaluation of warrants</w:t>
            </w: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5,704</w:t>
            </w:r>
          </w:p>
        </w:tc>
        <w:tc>
          <w:tcPr>
            <w:tcW w:w="1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2,196</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13,289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derivative assets and liabilities</w:t>
            </w:r>
          </w:p>
        </w:tc>
        <w:tc>
          <w:tcPr>
            <w:tcW w:w="12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2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c</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780</w:t>
            </w:r>
          </w:p>
        </w:tc>
        <w:tc>
          <w:tcPr>
            <w:tcW w:w="1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4,120</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1,531</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11,246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long-term debt and lease liabilities</w:t>
            </w: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15</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2,452</w:t>
            </w:r>
          </w:p>
        </w:tc>
        <w:tc>
          <w:tcPr>
            <w:tcW w:w="1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477</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5,174</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long-term debt and lease liabilities</w:t>
            </w:r>
          </w:p>
        </w:tc>
        <w:tc>
          <w:tcPr>
            <w:tcW w:w="12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(438)</w:t>
            </w: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(815)</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(218)</w:t>
            </w:r>
          </w:p>
        </w:tc>
        <w:tc>
          <w:tcPr>
            <w:tcW w:w="1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(2,070)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income (expense) on VAT receivable</w:t>
            </w: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d</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(1,046)</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initial recognition of Refundable deposit</w:t>
            </w:r>
          </w:p>
        </w:tc>
        <w:tc>
          <w:tcPr>
            <w:tcW w:w="12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19</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(675)</w:t>
            </w:r>
          </w:p>
        </w:tc>
        <w:tc>
          <w:tcPr>
            <w:tcW w:w="1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(675)</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(expenses) income</w:t>
            </w:r>
          </w:p>
        </w:tc>
        <w:tc>
          <w:tcPr>
            <w:tcW w:w="1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(286)</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(330)</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158</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7"/>
        </w:trPr>
        <w:tc>
          <w:tcPr>
            <w:tcW w:w="47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7,241</w:t>
            </w: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2,532</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17,367</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39  Page</w:t>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20" w:right="20" w:hanging="9"/>
        <w:spacing w:after="0" w:line="263" w:lineRule="auto"/>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 xml:space="preserve"> </w:t>
      </w:r>
      <w:r>
        <w:rPr>
          <w:rFonts w:ascii="Times New Roman" w:cs="Times New Roman" w:eastAsia="Times New Roman" w:hAnsi="Times New Roman"/>
          <w:sz w:val="18"/>
          <w:szCs w:val="18"/>
          <w:b w:val="1"/>
          <w:bCs w:val="1"/>
          <w:color w:val="auto"/>
        </w:rPr>
        <w:t xml:space="preserve">ADDITIONAL DETAILS TO THE STATEMENT OF PROFIT OR LOSS AND COMPREHENSIVE PROFIT OR LOSS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Electrical component inventory</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cost of electrical component inventory recognized as an expense and included in cost of revenues was $1,085 and $2,060, respectively (three and nine months ended September 30, 2023: $681 and $1,521, respectively).</w:t>
      </w:r>
    </w:p>
    <w:p>
      <w:pPr>
        <w:spacing w:after="0" w:line="177"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Canadian sales tax refund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2024, the Company received confirmation from the provincial tax authorities that Canadian sales taxes paid by the Company from February 5, 2022 onwards are refundable. Between February 5, 2022, the date on which the new crypto currency sales tax legislation came into effect, and April 2024, the Company filed monthly sales tax refund claims totaling approximately $24,400 (CAD$33,000) that were not paid to the Company, pending the finalization of the aforementioned legislation. The refund of sales taxes relates to sales taxes charged on various expenditures including, but not limited to, electricity costs, cost of property, plant and equipment, professional services, etc. During the nine months ended September 30, 2024, the $24,400 sales tax claims were refunded by the Canadian tax authorities.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not receiving its Canadian sales tax refund claims, the Company was self-assessing sales taxes payable when appropriate. During the second quarter of 2024, the Company reversed $9,560 of government remittances previously included in PPE and accrued in trade accounts payable and accrued liabilities, as disclosed in Note 13. Of this amount, $5,360 was recorded as a decrease to cost of revenues, $520 was recorded as a decrease to general and administrative expense and $3,680 was recorded as a decrease to PPE.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sales tax recoveries of $22,200 for previous years (i.e., 2022 and 2023) and $2,200 for the period of January to April 2024 were recognized and presented as direct adjustments in their respective expense and asset categories.</w:t>
      </w:r>
    </w:p>
    <w:p>
      <w:pPr>
        <w:spacing w:after="0" w:line="158"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disposition of marketable securities</w:t>
      </w:r>
    </w:p>
    <w:p>
      <w:pPr>
        <w:spacing w:after="0" w:line="31" w:lineRule="exact"/>
        <w:rPr>
          <w:sz w:val="20"/>
          <w:szCs w:val="20"/>
          <w:color w:val="auto"/>
        </w:rPr>
      </w:pPr>
    </w:p>
    <w:p>
      <w:pPr>
        <w:jc w:val="both"/>
        <w:ind w:left="20" w:hanging="9"/>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funded its expansion in Argentina through the acquisition of marketable securities and the in-kind contribution of those securities to the Company’s subsidiary in Argentina. The subsequent disposition of those marketable securities in exchange for ARS gave rise to a gain as the amount received in ARS exceeded the amount of ARS the Company would have received from a direct foreign currency exchange.</w:t>
      </w:r>
    </w:p>
    <w:p>
      <w:pPr>
        <w:spacing w:after="0" w:line="18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income (expense) on VAT receivable</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Due to the political and economic uncertainties in Argentina, the Company is uncertain when, or if at all, the Argentine VAT receivable will be settled. As a result, the Company recorded a provision to reduce the Argentine VAT receivable to nil starting in the fourth quarter of 2023. During the three and nine months ended September 30, 2024, the provision expense is classified within the respective expense and asset categories. Prior to October 1, 2023, the Argentine VAT not expected to be settled within the next 12 months was classified as a long-term receivable in Note 12 with the short-term portion included in sales tax receivable in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40  Page</w:t>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24:</w:t>
      </w:r>
      <w:r>
        <w:rPr>
          <w:sz w:val="20"/>
          <w:szCs w:val="20"/>
          <w:color w:val="auto"/>
        </w:rPr>
        <w:tab/>
      </w:r>
      <w:r>
        <w:rPr>
          <w:rFonts w:ascii="Times New Roman" w:cs="Times New Roman" w:eastAsia="Times New Roman" w:hAnsi="Times New Roman"/>
          <w:sz w:val="17"/>
          <w:szCs w:val="17"/>
          <w:b w:val="1"/>
          <w:bCs w:val="1"/>
          <w:color w:val="auto"/>
        </w:rPr>
        <w:t>GEOGRAPHICAL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segments are identified on the basis of information that is reviewed by the chief operating decision maker (“CODM”) to make decisions about resources to be allocated and to assess performance. Accordingly, for Management purposes, the Company is organized into operating segments based on the products and services of its business units and has one material reportable segment, cryptocurrency Mining, which is the operation of data centers that support the validation and verification of transactions on the BTC blockchain, earning cryptocurrency for providing these services, as described in Note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country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5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8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40" w:type="dxa"/>
            <w:vAlign w:val="bottom"/>
            <w:tcBorders>
              <w:bottom w:val="single" w:sz="8" w:color="auto"/>
            </w:tcBorders>
          </w:tcPr>
          <w:p>
            <w:pPr>
              <w:spacing w:after="0"/>
              <w:rPr>
                <w:sz w:val="20"/>
                <w:szCs w:val="20"/>
                <w:color w:val="auto"/>
              </w:rPr>
            </w:pPr>
          </w:p>
        </w:tc>
      </w:tr>
      <w:tr>
        <w:trPr>
          <w:trHeight w:val="209"/>
        </w:trPr>
        <w:tc>
          <w:tcPr>
            <w:tcW w:w="38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6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40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24,901</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24,230</w:t>
            </w:r>
          </w:p>
        </w:tc>
        <w:tc>
          <w:tcPr>
            <w:tcW w:w="16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85,168</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74,177</w:t>
            </w:r>
          </w:p>
        </w:tc>
      </w:tr>
      <w:tr>
        <w:trPr>
          <w:trHeight w:val="216"/>
        </w:trPr>
        <w:tc>
          <w:tcPr>
            <w:tcW w:w="3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4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2,171</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3,491</w:t>
            </w:r>
          </w:p>
        </w:tc>
        <w:tc>
          <w:tcPr>
            <w:tcW w:w="16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10,354</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11,675</w:t>
            </w:r>
          </w:p>
        </w:tc>
      </w:tr>
      <w:tr>
        <w:trPr>
          <w:trHeight w:val="209"/>
        </w:trPr>
        <w:tc>
          <w:tcPr>
            <w:tcW w:w="3800" w:type="dxa"/>
            <w:vAlign w:val="bottom"/>
            <w:shd w:val="clear" w:color="auto" w:fill="CCEEFF"/>
          </w:tcPr>
          <w:p>
            <w:pPr>
              <w:spacing w:after="0"/>
              <w:rPr>
                <w:sz w:val="18"/>
                <w:szCs w:val="18"/>
                <w:color w:val="auto"/>
              </w:rPr>
            </w:pPr>
          </w:p>
        </w:tc>
        <w:tc>
          <w:tcPr>
            <w:tcW w:w="40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27,072</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27,721</w:t>
            </w:r>
          </w:p>
        </w:tc>
        <w:tc>
          <w:tcPr>
            <w:tcW w:w="16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95,522</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85,852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4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40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6,033</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5,129</w:t>
            </w:r>
          </w:p>
        </w:tc>
        <w:tc>
          <w:tcPr>
            <w:tcW w:w="16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25,588</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9,221</w:t>
            </w:r>
          </w:p>
        </w:tc>
      </w:tr>
      <w:tr>
        <w:trPr>
          <w:trHeight w:val="216"/>
        </w:trPr>
        <w:tc>
          <w:tcPr>
            <w:tcW w:w="3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4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11,748</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1,746</w:t>
            </w:r>
          </w:p>
        </w:tc>
        <w:tc>
          <w:tcPr>
            <w:tcW w:w="16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15,608</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5,052</w:t>
            </w:r>
          </w:p>
        </w:tc>
      </w:tr>
      <w:tr>
        <w:trPr>
          <w:trHeight w:val="210"/>
        </w:trPr>
        <w:tc>
          <w:tcPr>
            <w:tcW w:w="3800" w:type="dxa"/>
            <w:vAlign w:val="bottom"/>
            <w:tcBorders>
              <w:bottom w:val="single" w:sz="8" w:color="auto"/>
            </w:tcBorders>
            <w:shd w:val="clear" w:color="auto" w:fill="CCEEFF"/>
          </w:tcPr>
          <w:p>
            <w:pPr>
              <w:spacing w:after="0"/>
              <w:rPr>
                <w:sz w:val="18"/>
                <w:szCs w:val="18"/>
                <w:color w:val="auto"/>
              </w:rPr>
            </w:pPr>
          </w:p>
        </w:tc>
        <w:tc>
          <w:tcPr>
            <w:tcW w:w="40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17,781</w:t>
            </w: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6,875</w:t>
            </w:r>
          </w:p>
        </w:tc>
        <w:tc>
          <w:tcPr>
            <w:tcW w:w="168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41,196</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14,273</w:t>
            </w:r>
          </w:p>
        </w:tc>
      </w:tr>
      <w:tr>
        <w:trPr>
          <w:trHeight w:val="217"/>
        </w:trPr>
        <w:tc>
          <w:tcPr>
            <w:tcW w:w="38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34,596</w:t>
            </w:r>
          </w:p>
        </w:tc>
        <w:tc>
          <w:tcPr>
            <w:tcW w:w="16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100,125</w:t>
            </w:r>
          </w:p>
        </w:tc>
      </w:tr>
    </w:tbl>
    <w:p>
      <w:pPr>
        <w:spacing w:after="0" w:line="198" w:lineRule="exact"/>
        <w:rPr>
          <w:sz w:val="20"/>
          <w:szCs w:val="20"/>
          <w:color w:val="auto"/>
        </w:rPr>
      </w:pPr>
    </w:p>
    <w:p>
      <w:pPr>
        <w:jc w:val="both"/>
        <w:ind w:firstLine="8"/>
        <w:spacing w:after="0" w:line="261" w:lineRule="auto"/>
        <w:tabs>
          <w:tab w:leader="none" w:pos="14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presented based on the geographical contribution of computational power used for hashing calculations (measured by hashrate) or sales to external customers. During the three and nine months ended September 30, 2024, the Company earned 97% and 97% of its revenues, respectively, from one Mining pool (three and nine months ended September 30, 2023: 95% and 96%, respectively). The Company has the ability to switch Mining Pools or to mine independently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book value of property, plant and equipment by country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456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5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105,250</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101,454</w:t>
            </w:r>
          </w:p>
        </w:tc>
      </w:tr>
      <w:tr>
        <w:trPr>
          <w:trHeight w:val="216"/>
        </w:trPr>
        <w:tc>
          <w:tcPr>
            <w:tcW w:w="4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5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13,675</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18,154</w:t>
            </w:r>
          </w:p>
        </w:tc>
      </w:tr>
      <w:tr>
        <w:trPr>
          <w:trHeight w:val="210"/>
        </w:trPr>
        <w:tc>
          <w:tcPr>
            <w:tcW w:w="4560" w:type="dxa"/>
            <w:vAlign w:val="bottom"/>
            <w:shd w:val="clear" w:color="auto" w:fill="CCEEFF"/>
          </w:tcPr>
          <w:p>
            <w:pPr>
              <w:spacing w:after="0"/>
              <w:rPr>
                <w:sz w:val="18"/>
                <w:szCs w:val="18"/>
                <w:color w:val="auto"/>
              </w:rPr>
            </w:pPr>
          </w:p>
        </w:tc>
        <w:tc>
          <w:tcPr>
            <w:tcW w:w="5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118,925</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119,608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5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42,235</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54,657</w:t>
            </w:r>
          </w:p>
        </w:tc>
      </w:tr>
      <w:tr>
        <w:trPr>
          <w:trHeight w:val="216"/>
        </w:trPr>
        <w:tc>
          <w:tcPr>
            <w:tcW w:w="4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5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85,354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11,747</w:t>
            </w:r>
          </w:p>
        </w:tc>
      </w:tr>
      <w:tr>
        <w:trPr>
          <w:trHeight w:val="210"/>
        </w:trPr>
        <w:tc>
          <w:tcPr>
            <w:tcW w:w="4560" w:type="dxa"/>
            <w:vAlign w:val="bottom"/>
            <w:tcBorders>
              <w:bottom w:val="single" w:sz="8" w:color="auto"/>
            </w:tcBorders>
            <w:shd w:val="clear" w:color="auto" w:fill="CCEEFF"/>
          </w:tcPr>
          <w:p>
            <w:pPr>
              <w:spacing w:after="0"/>
              <w:rPr>
                <w:sz w:val="18"/>
                <w:szCs w:val="18"/>
                <w:color w:val="auto"/>
              </w:rPr>
            </w:pPr>
          </w:p>
        </w:tc>
        <w:tc>
          <w:tcPr>
            <w:tcW w:w="5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127,589</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66,404</w:t>
            </w:r>
          </w:p>
        </w:tc>
      </w:tr>
      <w:tr>
        <w:trPr>
          <w:trHeight w:val="217"/>
        </w:trPr>
        <w:tc>
          <w:tcPr>
            <w:tcW w:w="456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246,514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41  Page</w:t>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25:</w:t>
            </w: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ADDITIONAL DETAILS TO THE STATEMENTS OF CASH FLOWS</w:t>
            </w:r>
          </w:p>
        </w:tc>
        <w:tc>
          <w:tcPr>
            <w:tcW w:w="2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10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102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2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components:</w:t>
            </w:r>
          </w:p>
        </w:tc>
        <w:tc>
          <w:tcPr>
            <w:tcW w:w="2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receivables, net</w:t>
            </w:r>
          </w:p>
        </w:tc>
        <w:tc>
          <w:tcPr>
            <w:tcW w:w="2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(758)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(9,123)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electrical component inventory</w:t>
            </w:r>
          </w:p>
        </w:tc>
        <w:tc>
          <w:tcPr>
            <w:tcW w:w="2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(471)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deposits</w:t>
            </w: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(5,097)</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3,309</w:t>
            </w: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trade payables and accrued liabilities</w:t>
            </w:r>
          </w:p>
        </w:tc>
        <w:tc>
          <w:tcPr>
            <w:tcW w:w="2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9,264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16"/>
        </w:trPr>
        <w:tc>
          <w:tcPr>
            <w:tcW w:w="7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Decrease in taxes payable</w:t>
            </w:r>
          </w:p>
        </w:tc>
        <w:tc>
          <w:tcPr>
            <w:tcW w:w="25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(254)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9"/>
        </w:trPr>
        <w:tc>
          <w:tcPr>
            <w:tcW w:w="1020" w:type="dxa"/>
            <w:vAlign w:val="bottom"/>
            <w:tcBorders>
              <w:bottom w:val="single" w:sz="8" w:color="auto"/>
            </w:tcBorders>
            <w:shd w:val="clear" w:color="auto" w:fill="CCEEFF"/>
          </w:tcPr>
          <w:p>
            <w:pPr>
              <w:spacing w:after="0"/>
              <w:rPr>
                <w:sz w:val="18"/>
                <w:szCs w:val="18"/>
                <w:color w:val="auto"/>
              </w:rPr>
            </w:pPr>
          </w:p>
        </w:tc>
        <w:tc>
          <w:tcPr>
            <w:tcW w:w="662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(6,439)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09"/>
        </w:trPr>
        <w:tc>
          <w:tcPr>
            <w:tcW w:w="10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2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shares in connection with acquisitions of assets</w:t>
            </w:r>
          </w:p>
        </w:tc>
        <w:tc>
          <w:tcPr>
            <w:tcW w:w="2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 of ROU assets, property, plant and equipment and related lease liabilities</w:t>
            </w:r>
          </w:p>
        </w:tc>
        <w:tc>
          <w:tcPr>
            <w:tcW w:w="2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9,226</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plant and equipment financed by short-term credit</w:t>
            </w:r>
          </w:p>
        </w:tc>
        <w:tc>
          <w:tcPr>
            <w:tcW w:w="2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4,846</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property, plant and equipment</w:t>
            </w:r>
          </w:p>
        </w:tc>
        <w:tc>
          <w:tcPr>
            <w:tcW w:w="2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29,674</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6,331</w:t>
            </w:r>
          </w:p>
        </w:tc>
      </w:tr>
      <w:tr>
        <w:trPr>
          <w:trHeight w:val="216"/>
        </w:trPr>
        <w:tc>
          <w:tcPr>
            <w:tcW w:w="7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Computational power revenue and its related service expense</w:t>
            </w:r>
          </w:p>
        </w:tc>
        <w:tc>
          <w:tcPr>
            <w:tcW w:w="2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564</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0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113,766</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60,583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ROU assets</w:t>
            </w:r>
          </w:p>
        </w:tc>
        <w:tc>
          <w:tcPr>
            <w:tcW w:w="6620" w:type="dxa"/>
            <w:vAlign w:val="bottom"/>
          </w:tcPr>
          <w:p>
            <w:pPr>
              <w:spacing w:after="0"/>
              <w:rPr>
                <w:sz w:val="18"/>
                <w:szCs w:val="18"/>
                <w:color w:val="auto"/>
              </w:rPr>
            </w:pPr>
          </w:p>
        </w:tc>
        <w:tc>
          <w:tcPr>
            <w:tcW w:w="2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2,213</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2,379</w:t>
            </w:r>
          </w:p>
        </w:tc>
      </w:tr>
      <w:tr>
        <w:trPr>
          <w:trHeight w:val="216"/>
        </w:trPr>
        <w:tc>
          <w:tcPr>
            <w:tcW w:w="76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404</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17"/>
        </w:trPr>
        <w:tc>
          <w:tcPr>
            <w:tcW w:w="102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116,383</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62,995</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26:</w:t>
            </w: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SUBSEQUENT EVENTS</w:t>
            </w:r>
          </w:p>
        </w:tc>
        <w:tc>
          <w:tcPr>
            <w:tcW w:w="25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Acquisition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21, 2024, the Company and Stronghold Digital Mining, Inc. (“Stronghold”) entered into a definitive merger agreement under which Bitfarms will acquire Stronghold in a stock-for-stock merger transaction (the “Transaction”). The Transaction is valued at approximately $125,000 equity value plus the repayment of the Stronghold debt valued at approximately $50,000 set to expire at closing.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ATM Program</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period from October 1, 2024 to November 12, 2024, the Company issued 19,565,025 common shares through the 2024 ATM Program in exchange for gross proceeds of $39,961 at an average share price of approximately $2.04. The Company received net proceeds of $38,699 after paying commissions of $1,262 to the sales agent. Refer to Note 18 for further details of the Company’s 2024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42  Page</w:t>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NOTE 26:</w:t>
      </w:r>
      <w:r>
        <w:rPr>
          <w:sz w:val="20"/>
          <w:szCs w:val="20"/>
          <w:color w:val="auto"/>
        </w:rPr>
        <w:tab/>
      </w: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Scrubgrass Hosting Agreement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October 2024, the Company entered into a second hosting agreement with Stronghold (“Scrubgrass Hosting Agreement”). The Company will accelerate the deployment of 10,000 Bitmain S21 Pro Miners at Stronghold’s Scrubgrass site.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Scrubgrass Hosting Agreement commenced on November 1, 2024, and continues for an initial term expiring on December 31, 2025, after which it will automatically renew for additional one-year periods unless either party provides written notice of non-renewal. Pursuant to the Scrubgrass Hosting Agreement, Bitfarms will pay Stronghold a monthly fee equal to fifty percent of the profit generated by the Bitfarms miners, subject to certain monthly adjustments between the parties to account for the upfront monthly payment due from Bitfarms to Stronghold and for taxes and the net cost of power associated with the operation of the Bitfarms Miners.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Scrubgrass Hosting Agreement, Bitfarms also deposited with Stronghold $7,800, equal to the estimated cost of power for three months of operations of the Bitfarms miners, which will be refundable in full to Bitfarms within one business day of the end of the initial term expiring on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Bitmain Contract Amendment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November 12, 2024, the Company amended the Purchase Option and the March 2024 Purchase Order and upgraded 18,853 Bitmain T21 Miners to 18,853 Bitmain S21 Pro Miners for an additional amount of $33,200. The Miners are expected to be delivered in December 2024 and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43  Page</w:t>
      </w:r>
    </w:p>
    <w:p>
      <w:pPr>
        <w:sectPr>
          <w:pgSz w:w="11900" w:h="16838" w:orient="portrait"/>
          <w:cols w:equalWidth="0" w:num="1">
            <w:col w:w="11240"/>
          </w:cols>
          <w:pgMar w:left="320" w:top="900" w:right="339" w:bottom="1440" w:gutter="0" w:footer="0" w:header="0"/>
        </w:sectPr>
      </w:pPr>
    </w:p>
    <w:bookmarkStart w:id="46" w:name="page47"/>
    <w:bookmarkEnd w:id="46"/>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1398905</wp:posOffset>
            </wp:positionV>
            <wp:extent cx="2743200" cy="771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7432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Management’s Discussion &amp; Analysis</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three and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Q3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5"/>
                <w:szCs w:val="15"/>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5"/>
                <w:szCs w:val="15"/>
                <w:color w:val="auto"/>
              </w:rPr>
            </w:pPr>
          </w:p>
        </w:tc>
        <w:tc>
          <w:tcPr>
            <w:tcW w:w="95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Company Overview</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8100" w:type="dxa"/>
            <w:vAlign w:val="bottom"/>
            <w:tcBorders>
              <w:bottom w:val="single" w:sz="8" w:color="CCEEFF"/>
              <w:right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9980" w:type="dxa"/>
            <w:vAlign w:val="bottom"/>
            <w:gridSpan w:val="26"/>
          </w:tcPr>
          <w:p>
            <w:pPr>
              <w:ind w:left="400"/>
              <w:spacing w:after="0" w:line="176" w:lineRule="exact"/>
              <w:rPr>
                <w:sz w:val="20"/>
                <w:szCs w:val="20"/>
                <w:color w:val="auto"/>
              </w:rPr>
            </w:pPr>
            <w:r>
              <w:rPr>
                <w:rFonts w:ascii="Times New Roman" w:cs="Times New Roman" w:eastAsia="Times New Roman" w:hAnsi="Times New Roman"/>
                <w:sz w:val="18"/>
                <w:szCs w:val="18"/>
                <w:color w:val="0000EE"/>
              </w:rPr>
              <w:t>Third Quarter 2024 Financial Results and Operational Highlights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17"/>
                <w:szCs w:val="17"/>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Production and Mining Operations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400" w:type="dxa"/>
            <w:vAlign w:val="bottom"/>
            <w:tcBorders>
              <w:top w:val="single" w:sz="8" w:color="CCEEFF"/>
            </w:tcBorders>
          </w:tcPr>
          <w:p>
            <w:pPr>
              <w:spacing w:after="0"/>
              <w:rPr>
                <w:sz w:val="15"/>
                <w:szCs w:val="15"/>
                <w:color w:val="auto"/>
              </w:rPr>
            </w:pPr>
          </w:p>
        </w:tc>
        <w:tc>
          <w:tcPr>
            <w:tcW w:w="250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Expansion Projects</w:t>
            </w:r>
          </w:p>
        </w:tc>
        <w:tc>
          <w:tcPr>
            <w:tcW w:w="708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Performance</w:t>
            </w:r>
          </w:p>
        </w:tc>
        <w:tc>
          <w:tcPr>
            <w:tcW w:w="7940" w:type="dxa"/>
            <w:vAlign w:val="bottom"/>
            <w:tcBorders>
              <w:bottom w:val="single" w:sz="8" w:color="CCEEFF"/>
              <w:right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9980" w:type="dxa"/>
            <w:vAlign w:val="bottom"/>
            <w:gridSpan w:val="26"/>
          </w:tcPr>
          <w:p>
            <w:pPr>
              <w:ind w:left="400"/>
              <w:spacing w:after="0" w:line="176" w:lineRule="exact"/>
              <w:rPr>
                <w:sz w:val="20"/>
                <w:szCs w:val="20"/>
                <w:color w:val="auto"/>
              </w:rPr>
            </w:pPr>
            <w:r>
              <w:rPr>
                <w:rFonts w:ascii="Times New Roman" w:cs="Times New Roman" w:eastAsia="Times New Roman" w:hAnsi="Times New Roman"/>
                <w:sz w:val="18"/>
                <w:szCs w:val="18"/>
                <w:color w:val="0000EE"/>
              </w:rPr>
              <w:t>Selected Quarterly Information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400" w:type="dxa"/>
            <w:vAlign w:val="bottom"/>
            <w:shd w:val="clear" w:color="auto" w:fill="CCEEFF"/>
          </w:tcPr>
          <w:p>
            <w:pPr>
              <w:spacing w:after="0"/>
              <w:rPr>
                <w:sz w:val="17"/>
                <w:szCs w:val="17"/>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Non-IFRS and Other Financial Measures and Ratios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top w:val="single" w:sz="8" w:color="CCEEFF"/>
            </w:tcBorders>
          </w:tcPr>
          <w:p>
            <w:pPr>
              <w:spacing w:after="0"/>
              <w:rPr>
                <w:sz w:val="15"/>
                <w:szCs w:val="15"/>
                <w:color w:val="auto"/>
              </w:rPr>
            </w:pPr>
          </w:p>
        </w:tc>
        <w:tc>
          <w:tcPr>
            <w:tcW w:w="37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582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EFF"/>
          </w:tcPr>
          <w:p>
            <w:pPr>
              <w:spacing w:after="0"/>
              <w:rPr>
                <w:sz w:val="15"/>
                <w:szCs w:val="15"/>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Position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5"/>
                <w:szCs w:val="15"/>
                <w:color w:val="auto"/>
              </w:rPr>
            </w:pPr>
          </w:p>
        </w:tc>
        <w:tc>
          <w:tcPr>
            <w:tcW w:w="95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Related Party Transactions</w:t>
            </w:r>
          </w:p>
        </w:tc>
        <w:tc>
          <w:tcPr>
            <w:tcW w:w="7640" w:type="dxa"/>
            <w:vAlign w:val="bottom"/>
            <w:tcBorders>
              <w:bottom w:val="single" w:sz="8" w:color="CCEEFF"/>
              <w:right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9980" w:type="dxa"/>
            <w:vAlign w:val="bottom"/>
            <w:gridSpan w:val="26"/>
          </w:tcPr>
          <w:p>
            <w:pPr>
              <w:ind w:left="400"/>
              <w:spacing w:after="0" w:line="176" w:lineRule="exact"/>
              <w:rPr>
                <w:sz w:val="20"/>
                <w:szCs w:val="20"/>
                <w:color w:val="auto"/>
              </w:rPr>
            </w:pPr>
            <w:r>
              <w:rPr>
                <w:rFonts w:ascii="Times New Roman" w:cs="Times New Roman" w:eastAsia="Times New Roman" w:hAnsi="Times New Roman"/>
                <w:sz w:val="18"/>
                <w:szCs w:val="18"/>
                <w:color w:val="0000EE"/>
              </w:rPr>
              <w:t>Restatement</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400" w:type="dxa"/>
            <w:vAlign w:val="bottom"/>
            <w:shd w:val="clear" w:color="auto" w:fill="CCEEFF"/>
          </w:tcPr>
          <w:p>
            <w:pPr>
              <w:spacing w:after="0"/>
              <w:rPr>
                <w:sz w:val="17"/>
                <w:szCs w:val="17"/>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Internal Controls Over Financial Reporting</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400" w:type="dxa"/>
            <w:vAlign w:val="bottom"/>
            <w:tcBorders>
              <w:top w:val="single" w:sz="8" w:color="CCEEFF"/>
            </w:tcBorders>
          </w:tcPr>
          <w:p>
            <w:pPr>
              <w:spacing w:after="0"/>
              <w:rPr>
                <w:sz w:val="15"/>
                <w:szCs w:val="15"/>
                <w:color w:val="auto"/>
              </w:rPr>
            </w:pPr>
          </w:p>
        </w:tc>
        <w:tc>
          <w:tcPr>
            <w:tcW w:w="310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Recent and Subsequent Events</w:t>
            </w:r>
          </w:p>
        </w:tc>
        <w:tc>
          <w:tcPr>
            <w:tcW w:w="648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4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Share Capital</w:t>
            </w:r>
          </w:p>
        </w:tc>
        <w:tc>
          <w:tcPr>
            <w:tcW w:w="8600" w:type="dxa"/>
            <w:vAlign w:val="bottom"/>
            <w:tcBorders>
              <w:bottom w:val="single" w:sz="8" w:color="CCEEFF"/>
              <w:right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9980" w:type="dxa"/>
            <w:vAlign w:val="bottom"/>
            <w:gridSpan w:val="26"/>
          </w:tcPr>
          <w:p>
            <w:pPr>
              <w:ind w:left="400"/>
              <w:spacing w:after="0" w:line="176" w:lineRule="exact"/>
              <w:rPr>
                <w:sz w:val="20"/>
                <w:szCs w:val="20"/>
                <w:color w:val="auto"/>
              </w:rPr>
            </w:pPr>
            <w:r>
              <w:rPr>
                <w:rFonts w:ascii="Times New Roman" w:cs="Times New Roman" w:eastAsia="Times New Roman" w:hAnsi="Times New Roman"/>
                <w:sz w:val="18"/>
                <w:szCs w:val="18"/>
                <w:color w:val="0000EE"/>
              </w:rPr>
              <w:t>Regulatory Compliance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400" w:type="dxa"/>
            <w:vAlign w:val="bottom"/>
            <w:shd w:val="clear" w:color="auto" w:fill="CCEEFF"/>
          </w:tcPr>
          <w:p>
            <w:pPr>
              <w:spacing w:after="0"/>
              <w:rPr>
                <w:sz w:val="15"/>
                <w:szCs w:val="15"/>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5"/>
                <w:szCs w:val="15"/>
                <w:color w:val="auto"/>
              </w:rPr>
            </w:pPr>
          </w:p>
        </w:tc>
        <w:tc>
          <w:tcPr>
            <w:tcW w:w="95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Estimates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40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Accounting Policy Information and New Accounting Policies</w:t>
            </w:r>
          </w:p>
        </w:tc>
        <w:tc>
          <w:tcPr>
            <w:tcW w:w="448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9980" w:type="dxa"/>
            <w:vAlign w:val="bottom"/>
            <w:gridSpan w:val="26"/>
          </w:tcPr>
          <w:p>
            <w:pPr>
              <w:ind w:left="400"/>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400" w:type="dxa"/>
            <w:vAlign w:val="bottom"/>
            <w:shd w:val="clear" w:color="auto" w:fill="CCEEFF"/>
          </w:tcPr>
          <w:p>
            <w:pPr>
              <w:spacing w:after="0"/>
              <w:rPr>
                <w:sz w:val="17"/>
                <w:szCs w:val="17"/>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Non-IFRS and Other Financial Measures and Ratios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400" w:type="dxa"/>
            <w:vAlign w:val="bottom"/>
            <w:tcBorders>
              <w:top w:val="single" w:sz="8" w:color="CCEEFF"/>
            </w:tcBorders>
          </w:tcPr>
          <w:p>
            <w:pPr>
              <w:spacing w:after="0"/>
              <w:rPr>
                <w:sz w:val="15"/>
                <w:szCs w:val="15"/>
                <w:color w:val="auto"/>
              </w:rPr>
            </w:pPr>
          </w:p>
        </w:tc>
        <w:tc>
          <w:tcPr>
            <w:tcW w:w="580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37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400" w:type="dxa"/>
            <w:vAlign w:val="bottom"/>
            <w:shd w:val="clear" w:color="auto" w:fill="CCEEFF"/>
          </w:tcPr>
          <w:p>
            <w:pPr>
              <w:spacing w:after="0"/>
              <w:rPr>
                <w:sz w:val="17"/>
                <w:szCs w:val="17"/>
                <w:color w:val="auto"/>
              </w:rPr>
            </w:pPr>
          </w:p>
        </w:tc>
        <w:tc>
          <w:tcPr>
            <w:tcW w:w="9580" w:type="dxa"/>
            <w:vAlign w:val="bottom"/>
            <w:tcBorders>
              <w:right w:val="single" w:sz="8" w:color="CCEE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Glossary of Terms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6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37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9980" w:type="dxa"/>
            <w:vAlign w:val="bottom"/>
            <w:tcBorders>
              <w:right w:val="single" w:sz="8" w:color="auto"/>
            </w:tcBorders>
            <w:gridSpan w:val="26"/>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(the “MD&amp;A”) for Bitfarms Ltd. (together with its subsidiaries, the “Company” or “Bitfarms”) has been prepared as of November 12, 2024. This MD&amp;A should be read in conjunction with the Company’s third quarter 2024 unaudited interim condensed consolidated financial statements and its accompanying notes (the “Financial Statements”), the Company's 2023 audited annual consolidated financial statements and its accompanying notes (the “2023 Annual Financial Statements”) and the Company’s Annual Information Form dated March 6, 2024 (the “2023 AIF”), which are available on SEDAR+ at www.sedarplus.ca and EDGAR at www.sec.gov/edgar.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International Financial Reporting Standards as issued by the International Accounting Standards Board (“IFRS Accounting Standards”) applicable to the preparation of interim financial statements, including IAS 34, Interim Financial Reporting. The Company’s Financial Statements and this MD&amp;A are reported in thousands of US dollars and US dollars, respectively, except where otherwise noted.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non-IFRS financial measures and ratios in assessing operating performance. Non-IFRS financial measures and ratios may exclude the impact of certain items and are used internally when analyzing operating performance. Refer to Section 9 - </w:t>
      </w:r>
      <w:r>
        <w:rPr>
          <w:rFonts w:ascii="Times New Roman" w:cs="Times New Roman" w:eastAsia="Times New Roman" w:hAnsi="Times New Roman"/>
          <w:sz w:val="18"/>
          <w:szCs w:val="18"/>
          <w:i w:val="1"/>
          <w:iCs w:val="1"/>
          <w:color w:val="auto"/>
        </w:rPr>
        <w:t>Non-IFRS and Other Financial Measures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Ratios </w:t>
      </w:r>
      <w:r>
        <w:rPr>
          <w:rFonts w:ascii="Times New Roman" w:cs="Times New Roman" w:eastAsia="Times New Roman" w:hAnsi="Times New Roman"/>
          <w:sz w:val="18"/>
          <w:szCs w:val="18"/>
          <w:color w:val="auto"/>
        </w:rPr>
        <w:t>and Section 23 -</w:t>
      </w:r>
      <w:r>
        <w:rPr>
          <w:rFonts w:ascii="Times New Roman" w:cs="Times New Roman" w:eastAsia="Times New Roman" w:hAnsi="Times New Roman"/>
          <w:sz w:val="18"/>
          <w:szCs w:val="18"/>
          <w:i w:val="1"/>
          <w:iCs w:val="1"/>
          <w:color w:val="auto"/>
        </w:rPr>
        <w:t xml:space="preserve"> Cautionary Note Regarding Non-IFRS and Other Financial Measures and Ratios </w:t>
      </w:r>
      <w:r>
        <w:rPr>
          <w:rFonts w:ascii="Times New Roman" w:cs="Times New Roman" w:eastAsia="Times New Roman" w:hAnsi="Times New Roman"/>
          <w:sz w:val="18"/>
          <w:szCs w:val="18"/>
          <w:color w:val="auto"/>
        </w:rPr>
        <w:t>of this MD&amp;A for more information.</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MD&amp;A contains forward-looking statements. Refer to the risk factors described in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MD&amp;A and in Section 19 -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of the Company’s MD&amp;A for the year ended December 31, 2023, dated March 6, 2024 and to Section 22 -</w:t>
      </w:r>
      <w:r>
        <w:rPr>
          <w:rFonts w:ascii="Times New Roman" w:cs="Times New Roman" w:eastAsia="Times New Roman" w:hAnsi="Times New Roman"/>
          <w:sz w:val="18"/>
          <w:szCs w:val="18"/>
          <w:i w:val="1"/>
          <w:iCs w:val="1"/>
          <w:color w:val="auto"/>
        </w:rPr>
        <w:t xml:space="preserve"> Cautionary Note Regarding Forward-Looking Statements </w:t>
      </w:r>
      <w:r>
        <w:rPr>
          <w:rFonts w:ascii="Times New Roman" w:cs="Times New Roman" w:eastAsia="Times New Roman" w:hAnsi="Times New Roman"/>
          <w:sz w:val="18"/>
          <w:szCs w:val="18"/>
          <w:color w:val="auto"/>
        </w:rPr>
        <w:t>of this MD&amp;A for more information. This MD&amp;A contains various terms related to the Company’s business and industry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defined in Section 25 -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 xml:space="preserve"> of this MD&amp;A.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MD&amp;A, the following terms shall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8860" w:type="dxa"/>
            <w:vAlign w:val="bottom"/>
            <w:tcBorders>
              <w:top w:val="single" w:sz="8" w:color="auto"/>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Q3 2024</w:t>
            </w:r>
          </w:p>
        </w:tc>
        <w:tc>
          <w:tcPr>
            <w:tcW w:w="88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Three months ended September 30, 2024</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Q3 2023</w:t>
            </w:r>
          </w:p>
        </w:tc>
        <w:tc>
          <w:tcPr>
            <w:tcW w:w="8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Three months ended September 30, 2023</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YTD Q3 2024</w:t>
            </w:r>
          </w:p>
        </w:tc>
        <w:tc>
          <w:tcPr>
            <w:tcW w:w="88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Nine months ended September 30, 2024</w:t>
            </w:r>
          </w:p>
        </w:tc>
      </w:tr>
      <w:tr>
        <w:trPr>
          <w:trHeight w:val="223"/>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YTD Q3 2023</w:t>
            </w:r>
          </w:p>
        </w:tc>
        <w:tc>
          <w:tcPr>
            <w:tcW w:w="88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Nine months ended September 30,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3  Page</w:t>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COMPANY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(Nasdaq/TSX: BITF) is a global, publicly traded Bitcoin mining company. Bitfarms operates vertically integrated Bitcoin data centers with in-house management and company-owned electrical engineering, installation service, and multiple onsite technical repair centers. The Company’s proprietary data analytics system delivers best-in-class operational performance and uptime.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a Mining pool operator under a formula-driven rate commonly known in the industry as Full Pay Per Share (“FPPS”). Under FPPS, Mining pool operators compensate Mining companies for their computational power used for hashing calculations, measured through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generally paid to the Company on a daily basis in Bitcoin (“BTC”).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two under development, and two under Hosting agreements, situated in four countries: Canada, the United States, Paraguay and Argentina. Powered predominately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operate and secure power through its production sites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Operating power as of</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Contracted power as of</w:t>
            </w:r>
          </w:p>
        </w:tc>
      </w:tr>
      <w:tr>
        <w:trPr>
          <w:trHeight w:val="238"/>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4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November 12, 2024</w:t>
            </w:r>
          </w:p>
        </w:tc>
        <w:tc>
          <w:tcPr>
            <w:tcW w:w="2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November 12, 2024</w:t>
            </w: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8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4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159 MW</w:t>
            </w:r>
          </w:p>
        </w:tc>
        <w:tc>
          <w:tcPr>
            <w:tcW w:w="2240" w:type="dxa"/>
            <w:vAlign w:val="bottom"/>
            <w:shd w:val="clear" w:color="auto" w:fill="CCEEFF"/>
          </w:tcPr>
          <w:p>
            <w:pPr>
              <w:ind w:left="1360"/>
              <w:spacing w:after="0" w:line="216" w:lineRule="exact"/>
              <w:rPr>
                <w:sz w:val="20"/>
                <w:szCs w:val="20"/>
                <w:color w:val="auto"/>
              </w:rPr>
            </w:pPr>
            <w:r>
              <w:rPr>
                <w:rFonts w:ascii="Times New Roman" w:cs="Times New Roman" w:eastAsia="Times New Roman" w:hAnsi="Times New Roman"/>
                <w:sz w:val="16"/>
                <w:szCs w:val="16"/>
                <w:color w:val="auto"/>
              </w:rPr>
              <w:t>180 MW</w:t>
            </w:r>
            <w:r>
              <w:rPr>
                <w:rFonts w:ascii="Times New Roman" w:cs="Times New Roman" w:eastAsia="Times New Roman" w:hAnsi="Times New Roman"/>
                <w:sz w:val="25"/>
                <w:szCs w:val="25"/>
                <w:color w:val="auto"/>
                <w:vertAlign w:val="superscript"/>
              </w:rPr>
              <w:t>1, 2</w:t>
            </w:r>
          </w:p>
        </w:tc>
      </w:tr>
      <w:tr>
        <w:trPr>
          <w:trHeight w:val="216"/>
        </w:trPr>
        <w:tc>
          <w:tcPr>
            <w:tcW w:w="4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 MW</w:t>
            </w:r>
          </w:p>
        </w:tc>
        <w:tc>
          <w:tcPr>
            <w:tcW w:w="2240" w:type="dxa"/>
            <w:vAlign w:val="bottom"/>
            <w:tcBorders>
              <w:bottom w:val="single" w:sz="8" w:color="auto"/>
            </w:tcBorders>
          </w:tcPr>
          <w:p>
            <w:pPr>
              <w:ind w:left="1360"/>
              <w:spacing w:after="0" w:line="216" w:lineRule="exact"/>
              <w:rPr>
                <w:sz w:val="20"/>
                <w:szCs w:val="20"/>
                <w:color w:val="auto"/>
              </w:rPr>
            </w:pPr>
            <w:r>
              <w:rPr>
                <w:rFonts w:ascii="Times New Roman" w:cs="Times New Roman" w:eastAsia="Times New Roman" w:hAnsi="Times New Roman"/>
                <w:sz w:val="16"/>
                <w:szCs w:val="16"/>
                <w:color w:val="auto"/>
              </w:rPr>
              <w:t>215 MW</w:t>
            </w:r>
            <w:r>
              <w:rPr>
                <w:rFonts w:ascii="Times New Roman" w:cs="Times New Roman" w:eastAsia="Times New Roman" w:hAnsi="Times New Roman"/>
                <w:sz w:val="25"/>
                <w:szCs w:val="25"/>
                <w:color w:val="auto"/>
                <w:vertAlign w:val="superscript"/>
              </w:rPr>
              <w:t>2, 3</w:t>
            </w:r>
          </w:p>
        </w:tc>
      </w:tr>
      <w:tr>
        <w:trPr>
          <w:trHeight w:val="210"/>
        </w:trPr>
        <w:tc>
          <w:tcPr>
            <w:tcW w:w="4120" w:type="dxa"/>
            <w:vAlign w:val="bottom"/>
            <w:shd w:val="clear" w:color="auto" w:fill="CCEEFF"/>
          </w:tcPr>
          <w:p>
            <w:pPr>
              <w:spacing w:after="0"/>
              <w:rPr>
                <w:sz w:val="18"/>
                <w:szCs w:val="18"/>
                <w:color w:val="auto"/>
              </w:rPr>
            </w:pPr>
          </w:p>
        </w:tc>
        <w:tc>
          <w:tcPr>
            <w:tcW w:w="4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177 MW</w:t>
            </w:r>
          </w:p>
        </w:tc>
        <w:tc>
          <w:tcPr>
            <w:tcW w:w="22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395 MW</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48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4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 MW</w:t>
            </w:r>
          </w:p>
        </w:tc>
        <w:tc>
          <w:tcPr>
            <w:tcW w:w="2240" w:type="dxa"/>
            <w:vAlign w:val="bottom"/>
            <w:shd w:val="clear" w:color="auto" w:fill="CCEEFF"/>
          </w:tcPr>
          <w:p>
            <w:pPr>
              <w:ind w:left="1360"/>
              <w:spacing w:after="0" w:line="216" w:lineRule="exact"/>
              <w:rPr>
                <w:sz w:val="20"/>
                <w:szCs w:val="20"/>
                <w:color w:val="auto"/>
              </w:rPr>
            </w:pPr>
            <w:r>
              <w:rPr>
                <w:rFonts w:ascii="Times New Roman" w:cs="Times New Roman" w:eastAsia="Times New Roman" w:hAnsi="Times New Roman"/>
                <w:sz w:val="16"/>
                <w:szCs w:val="16"/>
                <w:color w:val="auto"/>
              </w:rPr>
              <w:t>280 MW</w:t>
            </w:r>
            <w:r>
              <w:rPr>
                <w:rFonts w:ascii="Times New Roman" w:cs="Times New Roman" w:eastAsia="Times New Roman" w:hAnsi="Times New Roman"/>
                <w:sz w:val="25"/>
                <w:szCs w:val="25"/>
                <w:color w:val="auto"/>
                <w:vertAlign w:val="superscript"/>
              </w:rPr>
              <w:t>2</w:t>
            </w:r>
          </w:p>
        </w:tc>
      </w:tr>
      <w:tr>
        <w:trPr>
          <w:trHeight w:val="216"/>
        </w:trPr>
        <w:tc>
          <w:tcPr>
            <w:tcW w:w="4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4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 MW</w:t>
            </w:r>
          </w:p>
        </w:tc>
        <w:tc>
          <w:tcPr>
            <w:tcW w:w="2240" w:type="dxa"/>
            <w:vAlign w:val="bottom"/>
            <w:tcBorders>
              <w:bottom w:val="single" w:sz="8" w:color="auto"/>
            </w:tcBorders>
          </w:tcPr>
          <w:p>
            <w:pPr>
              <w:ind w:left="1360"/>
              <w:spacing w:after="0" w:line="216" w:lineRule="exact"/>
              <w:rPr>
                <w:sz w:val="20"/>
                <w:szCs w:val="20"/>
                <w:color w:val="auto"/>
              </w:rPr>
            </w:pPr>
            <w:r>
              <w:rPr>
                <w:rFonts w:ascii="Times New Roman" w:cs="Times New Roman" w:eastAsia="Times New Roman" w:hAnsi="Times New Roman"/>
                <w:sz w:val="16"/>
                <w:szCs w:val="16"/>
                <w:color w:val="auto"/>
              </w:rPr>
              <w:t>210 MW</w:t>
            </w:r>
            <w:r>
              <w:rPr>
                <w:rFonts w:ascii="Times New Roman" w:cs="Times New Roman" w:eastAsia="Times New Roman" w:hAnsi="Times New Roman"/>
                <w:sz w:val="25"/>
                <w:szCs w:val="25"/>
                <w:color w:val="auto"/>
                <w:vertAlign w:val="superscript"/>
              </w:rPr>
              <w:t>2</w:t>
            </w:r>
          </w:p>
        </w:tc>
      </w:tr>
      <w:tr>
        <w:trPr>
          <w:trHeight w:val="210"/>
        </w:trPr>
        <w:tc>
          <w:tcPr>
            <w:tcW w:w="412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 MW</w:t>
            </w:r>
          </w:p>
        </w:tc>
        <w:tc>
          <w:tcPr>
            <w:tcW w:w="224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490 MW</w:t>
            </w:r>
          </w:p>
        </w:tc>
      </w:tr>
      <w:tr>
        <w:trPr>
          <w:trHeight w:val="216"/>
        </w:trPr>
        <w:tc>
          <w:tcPr>
            <w:tcW w:w="41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311 MW</w:t>
            </w:r>
          </w:p>
        </w:tc>
        <w:tc>
          <w:tcPr>
            <w:tcW w:w="22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885 MW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9" w:lineRule="exact"/>
        <w:rPr>
          <w:sz w:val="20"/>
          <w:szCs w:val="20"/>
          <w:color w:val="auto"/>
        </w:rPr>
      </w:pPr>
    </w:p>
    <w:p>
      <w:pPr>
        <w:ind w:right="20" w:firstLine="8"/>
        <w:spacing w:after="0" w:line="195" w:lineRule="auto"/>
        <w:tabs>
          <w:tab w:leader="none" w:pos="112"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secured the rights for 10 MW of hydro-electricity in the province of Quebec but does not currently have an expansion plan for those 10 MW of power. Bitfarms is continuing its efforts to search for economically viable properties for the available 10 MW of hydro-electricity.</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Refer to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for details on the timing of the remaining MW not yet operational.</w:t>
      </w:r>
    </w:p>
    <w:p>
      <w:pPr>
        <w:spacing w:after="0" w:line="22" w:lineRule="exact"/>
        <w:rPr>
          <w:sz w:val="20"/>
          <w:szCs w:val="20"/>
          <w:color w:val="auto"/>
        </w:rPr>
      </w:pPr>
    </w:p>
    <w:p>
      <w:pPr>
        <w:ind w:firstLine="8"/>
        <w:spacing w:after="0" w:line="195" w:lineRule="auto"/>
        <w:tabs>
          <w:tab w:leader="none" w:pos="126"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Company has access to 84 MW from its two Hosting agreements with Stronghold Digital Hosting Inc., a subsidiary of Stronghold Digital Mining Inc. Refer to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for details on the timing of the energization of Miners.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4  Page</w:t>
      </w:r>
    </w:p>
    <w:p>
      <w:pPr>
        <w:sectPr>
          <w:pgSz w:w="11900" w:h="16838" w:orient="portrait"/>
          <w:cols w:equalWidth="0" w:num="1">
            <w:col w:w="11240"/>
          </w:cols>
          <w:pgMar w:left="320" w:top="9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FINANCIAL HIGHLIGHTS</w:t>
            </w:r>
          </w:p>
        </w:tc>
        <w:tc>
          <w:tcPr>
            <w:tcW w:w="2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43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9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8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34,596</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100,125</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Gross loss</w:t>
            </w:r>
          </w:p>
        </w:tc>
        <w:tc>
          <w:tcPr>
            <w:tcW w:w="27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(11,789)</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(8,866)</w:t>
            </w:r>
          </w:p>
        </w:tc>
        <w:tc>
          <w:tcPr>
            <w:tcW w:w="18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(33,746)</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(23,259)</w:t>
            </w:r>
          </w:p>
        </w:tc>
      </w:tr>
      <w:tr>
        <w:trPr>
          <w:trHeight w:val="256"/>
        </w:trPr>
        <w:tc>
          <w:tcPr>
            <w:tcW w:w="43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7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(43,892)</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(18,638)</w:t>
            </w:r>
          </w:p>
        </w:tc>
        <w:tc>
          <w:tcPr>
            <w:tcW w:w="18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(91,178)</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(59,392)</w:t>
            </w:r>
          </w:p>
        </w:tc>
      </w:tr>
      <w:tr>
        <w:trPr>
          <w:trHeight w:val="256"/>
        </w:trPr>
        <w:tc>
          <w:tcPr>
            <w:tcW w:w="430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27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7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(36,649)</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(16,507)</w:t>
            </w:r>
          </w:p>
        </w:tc>
        <w:tc>
          <w:tcPr>
            <w:tcW w:w="18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(46,877)</w:t>
            </w:r>
          </w:p>
        </w:tc>
      </w:tr>
      <w:tr>
        <w:trPr>
          <w:trHeight w:val="216"/>
        </w:trPr>
        <w:tc>
          <w:tcPr>
            <w:tcW w:w="4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74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(0.08)</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(0.06)</w:t>
            </w:r>
          </w:p>
        </w:tc>
        <w:tc>
          <w:tcPr>
            <w:tcW w:w="18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(0.17)</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(0.19)</w:t>
            </w:r>
          </w:p>
        </w:tc>
      </w:tr>
      <w:tr>
        <w:trPr>
          <w:trHeight w:val="250"/>
        </w:trPr>
        <w:tc>
          <w:tcPr>
            <w:tcW w:w="430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 xml:space="preserve">Gross Mining profit </w:t>
            </w:r>
            <w:r>
              <w:rPr>
                <w:rFonts w:ascii="Times New Roman" w:cs="Times New Roman" w:eastAsia="Times New Roman" w:hAnsi="Times New Roman"/>
                <w:sz w:val="28"/>
                <w:szCs w:val="28"/>
                <w:color w:val="auto"/>
                <w:vertAlign w:val="superscript"/>
              </w:rPr>
              <w:t>(2)</w:t>
            </w:r>
          </w:p>
        </w:tc>
        <w:tc>
          <w:tcPr>
            <w:tcW w:w="27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16,699</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14,527</w:t>
            </w:r>
          </w:p>
        </w:tc>
        <w:tc>
          <w:tcPr>
            <w:tcW w:w="18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68,689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44,823</w:t>
            </w:r>
          </w:p>
        </w:tc>
      </w:tr>
      <w:tr>
        <w:trPr>
          <w:trHeight w:val="257"/>
        </w:trPr>
        <w:tc>
          <w:tcPr>
            <w:tcW w:w="43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2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38%</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8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6"/>
        </w:trPr>
        <w:tc>
          <w:tcPr>
            <w:tcW w:w="4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27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6,352</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8,883</w:t>
            </w:r>
          </w:p>
        </w:tc>
        <w:tc>
          <w:tcPr>
            <w:tcW w:w="18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41,424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27,226</w:t>
            </w:r>
          </w:p>
        </w:tc>
      </w:tr>
      <w:tr>
        <w:trPr>
          <w:trHeight w:val="264"/>
        </w:trPr>
        <w:tc>
          <w:tcPr>
            <w:tcW w:w="430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2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8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4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As of September 30,  </w:t>
            </w:r>
            <w:r>
              <w:rPr>
                <w:rFonts w:ascii="Times New Roman" w:cs="Times New Roman" w:eastAsia="Times New Roman" w:hAnsi="Times New Roman"/>
                <w:sz w:val="18"/>
                <w:szCs w:val="18"/>
                <w:color w:val="auto"/>
              </w:rPr>
              <w:t>As of December 31,</w:t>
            </w:r>
          </w:p>
        </w:tc>
      </w:tr>
      <w:tr>
        <w:trPr>
          <w:trHeight w:val="209"/>
        </w:trPr>
        <w:tc>
          <w:tcPr>
            <w:tcW w:w="4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586,625</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2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46,159</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53,525</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2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1,530</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 included in financial liabilities</w:t>
            </w:r>
          </w:p>
        </w:tc>
        <w:tc>
          <w:tcPr>
            <w:tcW w:w="2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1,672</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distributions or cash dividends declared per share for the periods disclosed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340" w:hanging="332"/>
        <w:spacing w:after="0" w:line="187" w:lineRule="auto"/>
        <w:tabs>
          <w:tab w:leader="none" w:pos="34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5  Page</w:t>
      </w:r>
    </w:p>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THIRD QUARTER 2024 FINANCIAL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left="340" w:right="20" w:hanging="332"/>
        <w:spacing w:after="0" w:line="183" w:lineRule="auto"/>
        <w:tabs>
          <w:tab w:leader="none" w:pos="340" w:val="left"/>
        </w:tabs>
        <w:numPr>
          <w:ilvl w:val="0"/>
          <w:numId w:val="56"/>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Revenues of $44.9 million, gross loss of $11.8 million (gross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of negative 26%) including non-cash depreciation and amortization expense of $28.8 million, operating loss of $43.9 million (operating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of negative 98%), and net loss of $36.6 million;</w:t>
      </w:r>
    </w:p>
    <w:p>
      <w:pPr>
        <w:spacing w:after="0" w:line="2" w:lineRule="exact"/>
        <w:rPr>
          <w:rFonts w:ascii="Times New Roman" w:cs="Times New Roman" w:eastAsia="Times New Roman" w:hAnsi="Times New Roman"/>
          <w:sz w:val="35"/>
          <w:szCs w:val="35"/>
          <w:color w:val="auto"/>
          <w:vertAlign w:val="superscript"/>
        </w:rPr>
      </w:pPr>
    </w:p>
    <w:p>
      <w:pPr>
        <w:ind w:left="340" w:hanging="332"/>
        <w:spacing w:after="0" w:line="191" w:lineRule="auto"/>
        <w:tabs>
          <w:tab w:leader="none" w:pos="340" w:val="left"/>
        </w:tabs>
        <w:numPr>
          <w:ilvl w:val="0"/>
          <w:numId w:val="5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Gross Mining profit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of $16.7 million (38% Gross Mining margin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and</w:t>
      </w:r>
    </w:p>
    <w:p>
      <w:pPr>
        <w:ind w:left="340" w:hanging="332"/>
        <w:spacing w:after="0" w:line="195" w:lineRule="auto"/>
        <w:tabs>
          <w:tab w:leader="none" w:pos="340" w:val="left"/>
        </w:tabs>
        <w:numPr>
          <w:ilvl w:val="0"/>
          <w:numId w:val="5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$6.4 million (14% Adjusted EBITDA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 w:lineRule="exact"/>
        <w:rPr>
          <w:sz w:val="20"/>
          <w:szCs w:val="20"/>
          <w:color w:val="auto"/>
        </w:rPr>
      </w:pPr>
    </w:p>
    <w:p>
      <w:pPr>
        <w:ind w:left="340" w:hanging="332"/>
        <w:spacing w:after="0" w:line="250"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Hashrate from 10.4 EH/s at June 30, 2024 to 11.3 EH/s at September 30, 2024, an increase of 9%, through the energization of approximately 5,400 more efficient Miners;</w:t>
      </w:r>
    </w:p>
    <w:p>
      <w:pPr>
        <w:spacing w:after="0" w:line="13" w:lineRule="exact"/>
        <w:rPr>
          <w:rFonts w:ascii="Times New Roman" w:cs="Times New Roman" w:eastAsia="Times New Roman" w:hAnsi="Times New Roman"/>
          <w:sz w:val="18"/>
          <w:szCs w:val="18"/>
          <w:color w:val="auto"/>
        </w:rPr>
      </w:pPr>
    </w:p>
    <w:p>
      <w:pPr>
        <w:ind w:left="340" w:hanging="332"/>
        <w:spacing w:after="0" w:line="188" w:lineRule="auto"/>
        <w:tabs>
          <w:tab w:leader="none" w:pos="340" w:val="left"/>
        </w:tabs>
        <w:numPr>
          <w:ilvl w:val="0"/>
          <w:numId w:val="5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Earned 703 BTC at an average direct cost of $36,000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an average total cash cost of $52,400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held 1,147 BTC valued at approximately $72.6 million as of September 30, 2024; and</w:t>
      </w: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461 BTC at an average price of $60,600 per BTC for total proceeds of $27.9 million, a portion of which was used to pay capital expenditures.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ind w:left="340" w:hanging="332"/>
        <w:spacing w:after="0" w:line="26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Bitfarms’ transformative fleet upgrade with the deployment of approximately 5,400 additional Miners across 3 data centers located in Canada, the US, and Paraguay, enabling the Company to achieve 11.3 EH/s at September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9" w:lineRule="exact"/>
        <w:rPr>
          <w:sz w:val="20"/>
          <w:szCs w:val="20"/>
          <w:color w:val="auto"/>
        </w:rPr>
      </w:pPr>
    </w:p>
    <w:p>
      <w:pPr>
        <w:jc w:val="both"/>
        <w:ind w:left="34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entered into a definitive merger agreement (the “Merger Agreement”), pursuant to which the Company will acquire Stronghold Digital Mining Inc. (“Stronghold”), a vertically integrated crypto asset mining company with operations located in Pennsylvania, in a stock-for-stock merger transaction (the “Stronghold Transaction”). The Stronghold Transaction may add up to 307 MW of additional power capacity to the Company’s operations;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the lease agreement in Sharon, Pennsylvania, providing the Company with an immediate capacity of 12 MW of electricity with up to 98 MW of additional development capacity. Bitfarms also signed a letter of intent for a lease to an additional 10 MW site, which would bring total site capacity to 120 MW. Upon completion, the Sharon data center is expected to support an additional 6 EH/s of Miner capacity with the latest-generation Miners; and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entered into a Miner Hosting agreement with Stronghold (the “Panther Creek Hosting Agreement”) which will accelerate the deployment of 10,000 Bitmain T21 Miners, originally scheduled to come online at the Yguazu, Paraguay data center. Energization is anticipated to begin in November 2024 and will bring between 1.9 EH/s and 2.2 EH/s online.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Progressed on the construction of the Yguazu data center;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approximately 1,800 Bitmain T21 air-cooled Miners, completing the Paso Pe, Paraguay expansion and contributing to a total of approximately 2.8 EH/s at an efficiency of 22 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830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2" w:lineRule="exact"/>
        <w:rPr>
          <w:sz w:val="20"/>
          <w:szCs w:val="20"/>
          <w:color w:val="auto"/>
        </w:rPr>
      </w:pPr>
    </w:p>
    <w:p>
      <w:pPr>
        <w:ind w:left="120" w:hanging="112"/>
        <w:spacing w:after="0"/>
        <w:tabs>
          <w:tab w:leader="none" w:pos="12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firstLine="8"/>
        <w:spacing w:after="0" w:line="195" w:lineRule="auto"/>
        <w:tabs>
          <w:tab w:leader="none" w:pos="12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6  Page</w:t>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THIRD QUARTER 2024 FINANCIAL RESULTS AND OPERATIONAL HIGHLIGHTS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31"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$65.8 million in net proceeds through the Company’s 2024 at-the-market equity offering program (“2024 ATM Program”);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Deposited $7.8 million with Stronghold, which is refundable on December 31, 2025, in connection with the Panther Creek Hosting Agreement;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Collected the remaining $5.2 million balance of the Canadian sales tax recovery of the approximately $24.4 million total claims between February 5, 2022 and April 2024, for which the refund was confirmed by the Provincial tax authorities in the second quarter of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31" w:lineRule="exact"/>
        <w:rPr>
          <w:sz w:val="20"/>
          <w:szCs w:val="20"/>
          <w:color w:val="auto"/>
        </w:rPr>
      </w:pPr>
    </w:p>
    <w:p>
      <w:pPr>
        <w:ind w:left="34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Ben Gagnon as Chief Executive Officer (“CEO”) and Director of the board of directors (the “Board”), Liam Wilson as Chief Operating Officer and Benoit Gobeil as Chief Infrastructure Officer;</w:t>
      </w:r>
    </w:p>
    <w:p>
      <w:pPr>
        <w:ind w:left="34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Amy Freedman as Independent Director of the Board and Lead Director Brian Howlett as Independent Chairman of the Board; accepted the resignations of Nicolas Bonta and Andrés Finkielsztain from the Board;</w:t>
      </w:r>
    </w:p>
    <w:p>
      <w:pPr>
        <w:jc w:val="both"/>
        <w:ind w:left="34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the Settlement Agreement (as defined in Section 19 - </w:t>
      </w:r>
      <w:r>
        <w:rPr>
          <w:rFonts w:ascii="Times New Roman" w:cs="Times New Roman" w:eastAsia="Times New Roman" w:hAnsi="Times New Roman"/>
          <w:sz w:val="18"/>
          <w:szCs w:val="18"/>
          <w:i w:val="1"/>
          <w:iCs w:val="1"/>
          <w:color w:val="auto"/>
        </w:rPr>
        <w:t>Risk Factors (The Company’s business could be negatively impacted by unsolicited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 interest, takeover proposals, shareholder activism or proxy contests relating to the election of directors.</w:t>
      </w:r>
      <w:r>
        <w:rPr>
          <w:rFonts w:ascii="Times New Roman" w:cs="Times New Roman" w:eastAsia="Times New Roman" w:hAnsi="Times New Roman"/>
          <w:sz w:val="18"/>
          <w:szCs w:val="18"/>
          <w:color w:val="auto"/>
        </w:rPr>
        <w:t>)) with Riot Platforms, Inc. (“Riot”)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24, 2024; and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the employment dispute with the former CEO in August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7  Page</w:t>
      </w:r>
    </w:p>
    <w:p>
      <w:pPr>
        <w:sectPr>
          <w:pgSz w:w="11900" w:h="16838" w:orient="portrait"/>
          <w:cols w:equalWidth="0" w:num="1">
            <w:col w:w="11240"/>
          </w:cols>
          <w:pgMar w:left="320" w:top="90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right="7420" w:firstLine="8"/>
        <w:spacing w:after="0" w:line="500" w:lineRule="auto"/>
        <w:tabs>
          <w:tab w:leader="none" w:pos="1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PRODUCTION AND MINING OPERATIONS Key Performance Indicators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7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3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 Change</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4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703</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1,172</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2,260</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3,692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23</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(36)%</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4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461</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1,018</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1,917</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3,394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98"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Watts represents the average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2024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Q3 2023</w:t>
      </w:r>
    </w:p>
    <w:p>
      <w:pPr>
        <w:spacing w:after="0" w:line="31" w:lineRule="exact"/>
        <w:rPr>
          <w:sz w:val="20"/>
          <w:szCs w:val="20"/>
          <w:color w:val="auto"/>
        </w:rPr>
      </w:pPr>
    </w:p>
    <w:p>
      <w:pPr>
        <w:jc w:val="both"/>
        <w:ind w:left="660" w:hanging="328"/>
        <w:spacing w:after="0" w:line="25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703 BTC earned in Q3 2024, compared to 1,172 BTC earned in Q3 2023, representing a decrease of 40% as a result of reduced Block Rewards following the April 2024 halving event and a 62% increase in average Network Difficulty, partially offset by an increase in Hashrate from the Company’s expansions and upgrades to its Miner fleet with additional and higher efficiency Miners;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Company upgrading its fleet with more efficient Miners, the Company improved its ending energy efficiency to 21 Watts/TH on September 30, 2024 compared to 36 Watts/TH on September 30, 2023. This improvement resulted in a 23 average Watts/Average TH efficiency during Q3 2024, compared to 36 average Watts/Average TH efficiency during Q3 2023, representing an improvement of 36%;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 BTC sold in Q3 2024, compared to 1,018 BTC sold in Q3 2023. The proceeds were used in part to fund operations and to supplement liquidity.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31" w:lineRule="exact"/>
        <w:rPr>
          <w:sz w:val="20"/>
          <w:szCs w:val="20"/>
          <w:color w:val="auto"/>
        </w:rPr>
      </w:pPr>
    </w:p>
    <w:p>
      <w:pPr>
        <w:jc w:val="both"/>
        <w:ind w:left="660" w:hanging="328"/>
        <w:spacing w:after="0" w:line="250"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2,260 BTC earned during YTD Q3 2024, compared to 3,692 BTC earned during YTD Q3 2023, representing a decrease of 39% from the previous year as a result of reduced Block Rewards following the April 2024 halving event and a 74% increase in average Network Difficulty, partially offset by an increase in Hashrate from the Company’s expansions and upgrades to its Miner fleet with higher efficiency Miners;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Company upgrading its Mining fleet, the Company improved its ending energy efficiency to 21 Watts/TH on September 30, 2024, ahead of its targeted year-end completion date, compared to 36 Watts/TH on September 30, 2023. This improvement resulted in a 28 average Watts/Average TH efficiency during YTD Q3 2024, compared to 36 average Watts/Average TH efficiency during YTD Q3 2023, representing an improvement of 22%;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1,917 BTC sold in YTD Q3 2024, compared to 3,394 BTC sold in YTD Q3 2023. The proceeds were used in part to fund operations, repay equipment financing indebtedness and to supplement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8  Page</w:t>
      </w:r>
    </w:p>
    <w:p>
      <w:pPr>
        <w:sectPr>
          <w:pgSz w:w="11900" w:h="16838" w:orient="portrait"/>
          <w:cols w:equalWidth="0" w:num="1">
            <w:col w:w="11240"/>
          </w:cols>
          <w:pgMar w:left="320" w:top="9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PRODUCTION AND MINING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Key Performance Indicators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YTD Q3 2024 v. YTD Q3 2023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160" w:type="dxa"/>
            <w:vAlign w:val="bottom"/>
            <w:tcBorders>
              <w:bottom w:val="single" w:sz="8" w:color="auto"/>
            </w:tcBorders>
          </w:tcPr>
          <w:p>
            <w:pPr>
              <w:spacing w:after="0"/>
              <w:rPr>
                <w:sz w:val="20"/>
                <w:szCs w:val="20"/>
                <w:color w:val="auto"/>
              </w:rPr>
            </w:pPr>
          </w:p>
        </w:tc>
      </w:tr>
      <w:tr>
        <w:trPr>
          <w:trHeight w:val="209"/>
        </w:trPr>
        <w:tc>
          <w:tcPr>
            <w:tcW w:w="60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EH/s</w:t>
            </w:r>
          </w:p>
        </w:tc>
        <w:tc>
          <w:tcPr>
            <w:tcW w:w="2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11.3</w:t>
            </w: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Watts/TH efficiency*</w:t>
            </w:r>
          </w:p>
        </w:tc>
        <w:tc>
          <w:tcPr>
            <w:tcW w:w="2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21</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capacity (MW)</w:t>
            </w:r>
          </w:p>
        </w:tc>
        <w:tc>
          <w:tcPr>
            <w:tcW w:w="2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310</w:t>
            </w: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234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Hydro power (MW)</w:t>
            </w:r>
          </w:p>
        </w:tc>
        <w:tc>
          <w:tcPr>
            <w:tcW w:w="2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256</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183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6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 power proportion of period-end operating capacity</w:t>
            </w:r>
          </w:p>
        </w:tc>
        <w:tc>
          <w:tcPr>
            <w:tcW w:w="28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83%</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Watts represents the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September 30, 2024 v. as of September 30, 2023</w:t>
      </w:r>
    </w:p>
    <w:p>
      <w:pPr>
        <w:spacing w:after="0" w:line="31" w:lineRule="exact"/>
        <w:rPr>
          <w:sz w:val="20"/>
          <w:szCs w:val="20"/>
          <w:color w:val="auto"/>
        </w:rPr>
      </w:pPr>
    </w:p>
    <w:p>
      <w:pPr>
        <w:ind w:left="66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EH/s online as of September 30, 2024, compared to 6.1 EH/s online as of September 30, 2023, an increase of 85%, as a result of the Company’s expansions in Paso Pe (Paraguay) and Baie-Comeau (Quebec), as well as the upgrade of its Miner fleet with higher efficiency Miners;</w:t>
      </w:r>
    </w:p>
    <w:p>
      <w:pPr>
        <w:ind w:left="66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energy efficiency of 21 Watts/TH on September 30, 2024 compared to 36 Watts/TH on September 30, 2023, an improvement of 42% as a result of the Company upgrading its fleet with more efficient Miners;</w:t>
      </w:r>
    </w:p>
    <w:p>
      <w:pPr>
        <w:ind w:left="660" w:right="2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MW operating capacity as of September 30, 2024, compared to 234 MW operating capacity as of September 30, 2023, an increase of 32%, as a result of the expansion in Paso Pe (resulting in an additional 70 MW) and the expansion in Baie-Comeau (resulting in an additional 6 MW); and</w:t>
      </w:r>
    </w:p>
    <w:p>
      <w:pPr>
        <w:jc w:val="both"/>
        <w:ind w:left="660" w:hanging="328"/>
        <w:spacing w:after="0" w:line="255"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 MW hydro power as of September 30, 2024, compared to 183 MW hydro power as of September 30, 2023, an increase of 40% as a result of the Company’s expansion in Paso Pe and Baie-Comeau and representing 83% of the Company’s total operating energy capacity at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8"/>
          <w:szCs w:val="18"/>
          <w:color w:val="auto"/>
        </w:rPr>
        <w:t>9  Page</w:t>
      </w:r>
    </w:p>
    <w:p>
      <w:pPr>
        <w:sectPr>
          <w:pgSz w:w="11900" w:h="16838" w:orient="portrait"/>
          <w:cols w:equalWidth="0" w:num="1">
            <w:col w:w="11240"/>
          </w:cols>
          <w:pgMar w:left="320" w:top="90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EXPANSION PROJECTS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describes its expansion plans below under the sections entitled “United States Expansion”, “Paraguay Expansion”, “Canada Expansion”, and “Argentina Expansion”. These expansion projects only include updates for 2024. For background or historical information on these expansions, refer to the Company’s MD&amp;A for the year ended December 31, 2023, dated March 6, 2024, and the 2023 AIF.</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operated 11.3 EH/s, an increase of 5.2 EH/s, or 85%, compared to September 30, 2023, with the installation of additional Miners in Paso Pe, Paraguay; Baie-Comeau, Quebec; and Rio Cuarto, Argentina, and the Company upgrading its overall fleet with more efficient Miners. In October 2024 the Company achieved 11.5 EH/s, and in November 2024 the Company achieved 11.9 EH/s, mainly due to fleet-wide operational excellence initiatives. Through its expansion projects and the investment in its transformative fleet upgrade, the Company achieved its target of 21 w/TH before the end of 2024 and is executing towards its revised targets of 18 EH/s by March 31, 2025 and 21 EH/s by June 30,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revised target reflects the adoption of a more conservative approach in determining its forward guidance and is driven primarily by delays in Miner deliveries including the reassignment of Miners from Paraguay to the two Stronghold hosting sites. The Company is also upgrading 18,853 Bitmain T21s remaining in its Purchase Option and March 2024 Purchase Order, as defined below, to the more efficient Bitmain S21 Pro, with scheduled deliveries in December 2024 and January 2025.</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most recent BTC halving event occurred on April 19, 2024, and the Company continues to prudently explore further opportunities to expand its infrastructure and improve its Mining hardware to increase the Company’s Hashrate and Miner efficiency.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cost and supply of Bitcoin Mining equipment, the ability to import equipment into countries where it operates in a cost-effective and timely manner, the supply of electrical and other supporting infrastructure equipment, the availability of construction materials, currency exchange rates and the impact of geopolitical events on the supply chains described above. Adding reliable, environmentally-friendly hydro power is an element of the Company’s strategy to expand cost-effectively its operating footprint. The Company’s expansion plans rely on a consistent supply of electricity at cost-effective rates; refer to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Economic Dependence on Regulated Terms of Service and Electricity Rates Risks)</w:t>
      </w:r>
      <w:r>
        <w:rPr>
          <w:rFonts w:ascii="Times New Roman" w:cs="Times New Roman" w:eastAsia="Times New Roman" w:hAnsi="Times New Roman"/>
          <w:sz w:val="18"/>
          <w:szCs w:val="18"/>
          <w:color w:val="auto"/>
        </w:rPr>
        <w:t xml:space="preserve"> of the Company’s MD&amp;A for the year ended December 31, 2023, dated March 6, 2024 for further details, including a description of these and other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Transformative Fleet Upgrade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transformative fleet upgrade plan described above underpins the Company’s 2024 expansion strategy. Securing additional Miners is a key element of the Company’s strategy to benefit from increasing Bitcoin prices and to drive rapid and meaningful improvements across three key operating metrics: Hashrate, energy efficiency and operating costs per TH.</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27, 2023, the Company placed a firm purchase order for 35,888 Bitmain T21 Miners (the “Purchase Order”) totaling $95.5 million, or $14/TH, which were delivered in 2024. In addition, the Company secured a purchase option for an additional 28,000 Bitmain T21 Miners (the “Purchase Option”) for an aggregate purchase price of $74.5 million, or $14/TH.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10  Page</w:t>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Transformative Fleet Upgrade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11, 2024, the Company exercised the Purchase Option. On that date, the Company also purchased an additional 19,280 Bitmain T21 Miners for $14/TH, and 3,888 Bitmain S21 Miners and 740 Bitmain S21 hydro Miners for $17.50/TH, for an aggregate purchase price of $69.2 million (collectively defined as the ''March 2024 Purchase Order'').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12, 2024, the Company amended the Purchase Option and the March 2024 Purchase Order and upgraded 18,853 Bitmain T21 Miners with more efficient Bitmain S21 Pro Miners for an additional $33.2 million which are expected to be delivered in December 2024 and January 2025. The amended aggregate purchase price for the Purchase Option is $85.1 million and the March 2024 Purchase Order is $91.9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March 2024 Purchase Order, combined with the Purchase Order and Purchase Option, is expected to enable the Company to reach 21 EH/s operating capacity and has enabled the Company to already achieve 21 w/TH efficiency in 2024 without redeploying its older Miners. The Company intends to continue liquidating these older Miners to help offset the cost of new Miners. During YTD Q3 2024, the Company sold approximately 6,300 older generation Miners to third parties for approximately $1.5 million. Refer to Note 8 to the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2024, the Company paid $206.7 million towards these new orders with remaining payments of $31.9 million made during October 2024. The Company commenced the 2024 ATM Program on March 11, 2024, enabling the Company to access liquidity of up to $375.0 million, with the intention to use the proceeds primarily on capital expenditures to support the Company’s growth and development. Refer to Section 10A -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Cash Flows from Financing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status of the new Miner orders as of November 12,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Quantity</w:t>
            </w:r>
            <w:r>
              <w:rPr>
                <w:rFonts w:ascii="Times New Roman" w:cs="Times New Roman" w:eastAsia="Times New Roman" w:hAnsi="Times New Roman"/>
                <w:sz w:val="29"/>
                <w:szCs w:val="29"/>
                <w:b w:val="1"/>
                <w:bCs w:val="1"/>
                <w:color w:val="auto"/>
                <w:vertAlign w:val="superscript"/>
              </w:rPr>
              <w:t>1</w:t>
            </w:r>
          </w:p>
        </w:tc>
        <w:tc>
          <w:tcPr>
            <w:tcW w:w="182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Hashrate</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70"/>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Order</w:t>
            </w:r>
          </w:p>
        </w:tc>
        <w:tc>
          <w:tcPr>
            <w:tcW w:w="1260" w:type="dxa"/>
            <w:vAlign w:val="bottom"/>
            <w:tcBorders>
              <w:bottom w:val="single" w:sz="8" w:color="auto"/>
            </w:tcBorders>
            <w:vMerge w:val="continue"/>
          </w:tcPr>
          <w:p>
            <w:pPr>
              <w:spacing w:after="0"/>
              <w:rPr>
                <w:sz w:val="23"/>
                <w:szCs w:val="23"/>
                <w:color w:val="auto"/>
              </w:rPr>
            </w:pPr>
          </w:p>
        </w:tc>
        <w:tc>
          <w:tcPr>
            <w:tcW w:w="1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Miner Model</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Energized</w:t>
            </w:r>
          </w:p>
        </w:tc>
        <w:tc>
          <w:tcPr>
            <w:tcW w:w="1120" w:type="dxa"/>
            <w:vAlign w:val="bottom"/>
            <w:tcBorders>
              <w:bottom w:val="single" w:sz="8" w:color="auto"/>
            </w:tcBorders>
          </w:tcPr>
          <w:p>
            <w:pPr>
              <w:jc w:val="right"/>
              <w:ind w:right="70"/>
              <w:spacing w:after="0" w:line="270" w:lineRule="exact"/>
              <w:rPr>
                <w:sz w:val="20"/>
                <w:szCs w:val="20"/>
                <w:color w:val="auto"/>
              </w:rPr>
            </w:pPr>
            <w:r>
              <w:rPr>
                <w:rFonts w:ascii="Times New Roman" w:cs="Times New Roman" w:eastAsia="Times New Roman" w:hAnsi="Times New Roman"/>
                <w:sz w:val="18"/>
                <w:szCs w:val="18"/>
                <w:b w:val="1"/>
                <w:bCs w:val="1"/>
                <w:color w:val="auto"/>
              </w:rPr>
              <w:t>(EH/s)</w:t>
            </w:r>
            <w:r>
              <w:rPr>
                <w:rFonts w:ascii="Times New Roman" w:cs="Times New Roman" w:eastAsia="Times New Roman" w:hAnsi="Times New Roman"/>
                <w:sz w:val="29"/>
                <w:szCs w:val="29"/>
                <w:b w:val="1"/>
                <w:bCs w:val="1"/>
                <w:color w:val="auto"/>
                <w:vertAlign w:val="superscript"/>
              </w:rPr>
              <w:t>2</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0" w:type="dxa"/>
            <w:vAlign w:val="bottom"/>
          </w:tcPr>
          <w:p>
            <w:pPr>
              <w:spacing w:after="0"/>
              <w:rPr>
                <w:sz w:val="1"/>
                <w:szCs w:val="1"/>
                <w:color w:val="auto"/>
              </w:rPr>
            </w:pPr>
          </w:p>
        </w:tc>
      </w:tr>
      <w:tr>
        <w:trPr>
          <w:trHeight w:val="210"/>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Q4</w:t>
            </w: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Order</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35,898</w:t>
            </w: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Bitmain T21</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35,898</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6.8</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Q1</w:t>
            </w:r>
          </w:p>
        </w:tc>
        <w:tc>
          <w:tcPr>
            <w:tcW w:w="1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2024 (amended Q4</w:t>
            </w:r>
          </w:p>
        </w:tc>
        <w:tc>
          <w:tcPr>
            <w:tcW w:w="24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Purchase Option (amended</w:t>
            </w:r>
          </w:p>
        </w:tc>
        <w:tc>
          <w:tcPr>
            <w:tcW w:w="1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7,986</w:t>
            </w: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w:t>
            </w: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14,014</w:t>
            </w:r>
          </w:p>
        </w:tc>
        <w:tc>
          <w:tcPr>
            <w:tcW w:w="0" w:type="dxa"/>
            <w:vAlign w:val="bottom"/>
          </w:tcPr>
          <w:p>
            <w:pPr>
              <w:spacing w:after="0"/>
              <w:rPr>
                <w:sz w:val="1"/>
                <w:szCs w:val="1"/>
                <w:color w:val="auto"/>
              </w:rPr>
            </w:pPr>
          </w:p>
        </w:tc>
      </w:tr>
      <w:tr>
        <w:trPr>
          <w:trHeight w:val="212"/>
        </w:trPr>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2024)</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22,000</w:t>
            </w:r>
          </w:p>
        </w:tc>
        <w:tc>
          <w:tcPr>
            <w:tcW w:w="1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Bitmain T21</w:t>
            </w:r>
          </w:p>
        </w:tc>
        <w:tc>
          <w:tcPr>
            <w:tcW w:w="13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Bitmain S21 Pro</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6,000</w:t>
            </w:r>
          </w:p>
        </w:tc>
        <w:tc>
          <w:tcPr>
            <w:tcW w:w="0" w:type="dxa"/>
            <w:vAlign w:val="bottom"/>
          </w:tcPr>
          <w:p>
            <w:pPr>
              <w:spacing w:after="0"/>
              <w:rPr>
                <w:sz w:val="1"/>
                <w:szCs w:val="1"/>
                <w:color w:val="auto"/>
              </w:rPr>
            </w:pPr>
          </w:p>
        </w:tc>
      </w:tr>
      <w:tr>
        <w:trPr>
          <w:trHeight w:val="198"/>
        </w:trPr>
        <w:tc>
          <w:tcPr>
            <w:tcW w:w="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Q1</w:t>
            </w:r>
          </w:p>
        </w:tc>
        <w:tc>
          <w:tcPr>
            <w:tcW w:w="1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2024 (amended Q4</w:t>
            </w:r>
          </w:p>
        </w:tc>
        <w:tc>
          <w:tcPr>
            <w:tcW w:w="24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March 2024 Purchase Order</w:t>
            </w:r>
          </w:p>
        </w:tc>
        <w:tc>
          <w:tcPr>
            <w:tcW w:w="12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(amended</w:t>
            </w: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6,427</w:t>
            </w: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November 2024)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6,427</w:t>
            </w: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Bitmain T21</w:t>
            </w:r>
          </w:p>
        </w:tc>
        <w:tc>
          <w:tcPr>
            <w:tcW w:w="13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12,853</w:t>
            </w: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Bitmain S21 Pro</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12,853</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3,975</w:t>
            </w: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Bitmain S21</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0.8</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18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Bitmain S21 hydro</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740</w:t>
            </w: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87,893</w:t>
            </w:r>
          </w:p>
        </w:tc>
        <w:tc>
          <w:tcPr>
            <w:tcW w:w="1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47,859</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9.1</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120" w:hanging="112"/>
        <w:spacing w:after="0" w:line="195" w:lineRule="auto"/>
        <w:tabs>
          <w:tab w:leader="none" w:pos="12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total Hashrate from the Miners received should correspond to the total Hashrate specified in the initial agreements. The quantity of Miners received may vary based on the individual specifications of each Miner.</w:t>
      </w:r>
    </w:p>
    <w:p>
      <w:pPr>
        <w:spacing w:after="0" w:line="132" w:lineRule="exact"/>
        <w:rPr>
          <w:sz w:val="20"/>
          <w:szCs w:val="20"/>
          <w:color w:val="auto"/>
        </w:rPr>
      </w:pPr>
    </w:p>
    <w:p>
      <w:pPr>
        <w:ind w:left="10340" w:right="260" w:hanging="10332"/>
        <w:spacing w:after="0" w:line="717" w:lineRule="auto"/>
        <w:tabs>
          <w:tab w:leader="none" w:pos="123"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Hashrate is based on the average Miner specifications stated in the purchase agreements and the Company’s actual realized Hashrate may differ. 11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Planned 2025 Acquisition of Stronghold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2024, the Company and Stronghold entered into the Merger Agreement under which Bitfarms will acquire Stronghold in the Stronghold Transaction. The Stronghold Transaction was valued at approximately $125.0 million equity value plus the repayment of the debt valued at approximately $50.0 million set to expire at closing.</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Stronghold is a vertically integrated crypto asset Mining company focused on Bitcoin and environmental remediation and reclamation services. Stronghold owns over 750 acres of land with options on over 1,100 additional acres along with two merchant power plants: the Scrubgrass and Panther Creek Facilities in Pennsylvania. These two power plants are recognized by Pennsylvania as a Tier 2 Alternative Energy Source (the same category as large-scale hydro) for their proven and significant environmental benefits and have removed hundreds of thousands of tons of mining waste and converted it into power, and reclaiming hundred of acres in the process.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Stronghold had a Hashrate of 4.0 EH/s and 165 MW of current nameplate generated power capacity, with the potential to bring its Hashrate to approximately 10 EH/s in 2025 with fleet upgrades. In addition, Stronghold has 142 MW of current Pennsylvania-New Jersey-Maryland Interconnection (PJM) import capacity with multiple studies underway to potentially increase the total import capacity by an additional 648 MW, bringing as much as 790 MW of incremental potential power beyond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Stronghold Transaction could add up to 307 MW of power capacity to the Company’s operations and is aligned with the Company’s strategic objectives to diversify its operations and expand its presence in the U.S. through vertical integration of power generation and energy trading capabilities and solidify its position as a dominant player in the Bitcoin Mining sector and the potential to solidify its position in the HPC and AI sector.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Stronghold Transaction has been unanimously approved by the boards of directors of both companies and is expected to close in the first quarter of 2025, subject to the approval of Stronghold’s shareholders and the receipt of applicable regulatory approvals and certain third-party consents, and other customary closing conditions. Under the terms of the Merger Agreement, Stronghold shareholders will receive 2.52 shares of Bitfarms for each share of Stronghold they own, representing, based on the price of Bitfarms’ shares at August 16, 2024, consideration per share of U.S. $6.02 and a 71% premium to the Stronghold 90-day volume-weighted average price on Nasdaq as of that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Panther Creek Hosting Agreement 2024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2024, the Company entered into the Panther Creek Hosting Agreement with Stronghold Digital Mining Hosting, a subsidiary of Stronghold.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Panther Creek Hosting Agreement, the Company will deploy a mix of 10,000 Bitmain T21 and Bitmain S21 Pro Miners at Stronghold’s Panther Creek site which were originally scheduled to come online at the Company’s Yguazu, Paraguay site. Energization is anticipated to begin in November 2024 and be completed by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0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12  Page</w:t>
      </w:r>
    </w:p>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Panther Creek Hosting Agreement 2024 plan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Panther Creek Hosting Agreement came into effect on October 1, 2024, and is intended to continue for an initial term expiring on December 31, 2025, after which it will automatically renew for additional one-year periods unless terminated by either party. Pursuant to the Panther Creek Hosting Agreement, Bitfarms will pay Stronghold a monthly fee equal to fifty percent of the profit generated by the Bitfarms Miners, subject to certain monthly adjustments between the parties to account for the upfront monthly payment due from Bitfarms to Stronghold and for taxes and the net cost of power associated with the operation of the Bitfarms Miners.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Panther Creek Hosting Agreement, Bitfarms also deposited with Stronghold $7.8 million, equal to the estimated cost of power for three months of operations of the Bitfarms miners, which will be refundable in full to Bitfarms within one business day of the end of the initial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Scrubgrass Hosting Agreement 2024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2024, the Company entered into a second Hosting agreement with Stronghold (“Scrubgrass Hosting Agreement”). The Company will deploy another 10,000 Bitmain S21 Pro Miners at Stronghold’s Scrubgrass site which were originally scheduled to come online at the Company’s Yguazu, Paraguay site in December 2024. Energization is anticipated to begin in December 2024 and be completed by the end of the first quarter of 2025.</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Scrubgrass Hosting Agreement came into effect on November 1, 2024, and is intended to continue for an initial term expiring on December 31, 2025, after which it will automatically renew for additional one-year periods unless terminated by either party. Pursuant to the Scrubgrass Hosting Agreement, Bitfarms will pay Stronghold a monthly fee equal to fifty percent of the profit generated by the Bitfarms Miners, subject to certain monthly adjustments between the parties to account for the upfront monthly payment due from Bitfarms to Stronghold and for taxes and the net cost of power associated with the operation of the Bitfarms Miners.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Scrubgrass Hosting Agreement, Bitfarms also deposited with Stronghold $7.8 million, equal to the estimated cost of power for three months of operations of the Bitfarms miners, which will be refundable in full to Bitfarms within one business day of the end of the initial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Sharon Lease Agreement 2024 &amp; 2025 plan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2024, the Company entered into an agreement to lease a site located in Sharon (“Sharon Lease Agreement”), Pennsylvania, and develop up to 110 MW of power capacity. Bitfarms also signed a letter of intent for a lease to an additional 10 MW site, which would bring total site capacity to 120 MW. The agreement includes a five-year lease in an industrialized area, including a 11,200 square feet warehouse with options to renew for a total of seventeen years along with an option to purchase at fair market value throughout the lease. The lease has variable lease payments with minimum monthly payments increasing over the term of the lease from $33,000 to $138,000 with annual adjustments beginning after the third year of the agreement. Prior to June 30, 2026, monthly lease payments can fluctuate based on the energized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13  Page</w:t>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Sharon Lease Agreement 2024 &amp; 2025 plan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2024, the Company finalized the definitive lease agreement and assumed control of the property in Sharon. With this transaction, the Company acquired a potential 110 MW of electricity, with the transaction providing the Company with an immediate capacity increase of 12 MW of electricity. A total of 30 MW of capacity is slated to come online by the end of the second quarter of 2025 and the remaining 80 MW by the end of 2025, which is when the installation of electrical infrastructure is expected to be completed.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profit sharing plans from future hosting agreements, the Mining operations are expected to increase the online Hashrate under management by 1.6 EH/s. Fully energized for Bitcoin Mining, the site could support over 6.0 EH/s with current generation Miners. The cost of developing the 110 MW Bitcoin data center for computational power and the installation of the high voltage lines is estimated to range from $55.0 million to $70.0 million. A concurrent evaluation of developing the site for HPC and AI are in exploratory stages and may impact estimated capital expenditures and the increase in online Hashrate.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2024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complete the upgrade of a portion of its current fleet of miners in Washington by the first quarter of 2025 with new T21 Miners.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2024 update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2024, in connection with the construction of a new 6 MW data center on the Company’s property in Washington State, the Company elected to cancel the lease of a 5 MW data center in the region and transfer Miners from the leased data center to the newly constructed data center. In April 2024, the cancellation of the lease was effective. In June 2024, the Company energized a 3 MW temporary data center until the new 6 MW data center was fully constructed in October 2024. The cost of developing the 6 MW data center totaled $2.1 million, including $0.9 million paid in 2023 to the power supplier for establishing the necessary electricity connection.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2024, the power supplier established the electricity connection allowing the Company, subject to the completion of the civil work, to access 6 MW of hydro power capacity.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2024, approximately 1,000 Bitmain T21 Miners and 200 Bitmain S21 Miners were installed at the current operating data center and the Company installed approximately 700 additional T21 Bitmain Miners during 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14  Page</w:t>
      </w:r>
    </w:p>
    <w:p>
      <w:pPr>
        <w:sectPr>
          <w:pgSz w:w="11900" w:h="16838" w:orient="portrait"/>
          <w:cols w:equalWidth="0" w:num="1">
            <w:col w:w="11240"/>
          </w:cols>
          <w:pgMar w:left="320" w:top="90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Paraguay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2024 update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March 2024 to June 2024, construction of the Paso Pe data center and the underground cable connections were completed, the 80 MW capacity transformer was received and installed, as well as approximately 9,500 Bitmain T21 air-cooled Miners and approximately 1,800 MicroBT M53S Hydro Miners housed within a portion of the eight Hydro Containers. Following the commissioning of the substation, in the second quarter of 2024, the Company energized the 70 MW substation and started operating 4 of 5 air cooling warehouses and 6 of 8 hydro containers.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the Company installed approximately 1,800 additional Bitmain T21 air-cooled Miners, completing the Paso Pe expansion. As of July 2024, all five warehouses and eight hydro containers have been fully energized and are actively hashing. In October 2024, the Company added approximately 3,100 Bitmain T21 Miners to the Paso Pe data center.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developing the expanded 50 MW air-cooled warehouses, engineering and ancillary services for the 20 MW of hydro-cooling capacity, constructing the substation capable of accommodating the total energy requirement, and the installation of the high voltage lines totaled $25.8 million, excluding the cost of the power purchase agreement guarantees required by National Electricity Administration (“ANDE”), the operator of Paraguay national electricity grid, to secure the monthly electricity purchase payment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Yguazu 2024 update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January 2024, the Company purchased the land for the initially planned 100 MW hydro-powered Yguazu data center to contribute sufficient infrastructure to achieve the Company’s growth targets and for additional future growth.</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and March 2024, the Company signed purchase agreements for major long-lead equipment and significant contracts including the engineering, procurement and construction contract for the high-voltage interconnection to the ANDE substation and to the transmission line to energize the 100 MW project.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the Company started construction of the Yguazu data center.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2024, the Company amended its power purchase agreement for the Yguazu data center to increase the contracted power from 100 MW to 200 MW commencing on January 1, 2025. In November 2024, the Company requested to delay the commissioning of the substation by 60 days, which is pending ANDE’s approval. The Company has a four-month trial period to ramp up usage of the substation to full capacity after it is first commissioned. The Company expects to complete the build out of the electrical infrastructure for the first 100 MW by December 31, 2024 and the additional 100 MW before June 30, 2025. In June 2024, the Company purchased land for the planned additional 100 MW capacity.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construction is progressing and scheduled to be completed in the first quarter of 2025. The cost of developing the 200 MW data center and the installation of the high voltage lines is estimated to range from $57.0 million to $62.0 million, excluding the cost of the power purchase agreement guarantees required by 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15  Page</w:t>
      </w:r>
    </w:p>
    <w:p>
      <w:pPr>
        <w:sectPr>
          <w:pgSz w:w="11900" w:h="16838" w:orient="portrait"/>
          <w:cols w:equalWidth="0" w:num="1">
            <w:col w:w="11240"/>
          </w:cols>
          <w:pgMar w:left="320" w:top="90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Paraguay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Electricity rate update - Paso Pe and Yguazu</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Beginning in July 2024, the Company’s sustainable hydropower will be provided at a cost of approximately 4.4 cents per kWh, before VAT, following the increase in the tariff for Mining activities compared to the previous rate of 3.9 cents per kWh, before VAT.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position as of September 30,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2024, the Company had placed deposits of $0.1 million and $0.2 million with suppliers for construction costs and for electrical components, respectively. As of September 30, 2024, property, plant and equipment (“PPE”) included $24.4 million related to the Paso Pe data center for warehouse construction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Yguazu position as of September 30, 2024</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of September 30, 2024, the Company had placed deposits of $7.5 million and $10.8 million with suppliers for construction costs and for electrical components, respectively. As of September 30, 2024, PPE included $11.3 million related to the Yguazu data center, for warehouse construction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and 2025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expects to complete construction of 100 MW of the Yguazu data center by March 1, 2025 and the remaining 100 MW by June 30, 2025. The Company expects to redeploy 20,000 Bitmain T21 miners to the Stronghold facilities beginning in November and December 2024, as explained in the section titled “United States Expansion” above.</w:t>
      </w:r>
    </w:p>
    <w:p>
      <w:pPr>
        <w:spacing w:after="0" w:line="182"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part of the Miner upgrade and expansion initiatives, the Company installed new Miners at its data centers in Canada during 2024 with new Bitmain T21, S21, S21 Hydro Miners and MicroBT WhatsMiner M53S Miners.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2024 update</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 March and April 2024, the Company installed approximately 1,700 Bitmain T21 Miners and 100 MicroBT WhatsMiner M53S Miners at its Farnham data center, adding a net 0.2 EH/s after removing older, less efficient Miners. Separately, between April and June 2024, approximately 26,900 new Miners were installed at the Company’s data centers in Canada, adding a net 1.6 EH/s after removing older Miners.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2024, the Company entered into a sale leaseback agreement for the Garlock data center and received net proceeds of $1.7 million. Refer to Note 15 to the Financial Statements.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and September 2024, the Company received from Bitmain 2,700 T21 Bitmain Miners at no additional cost and installed those Miners at the Company’s data centers in Canada to replace certain underperforming Miners experiencing overheating issues.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2024, approximately 2,900 T21 Bitmain Miners were installed at the Company’s Magog data center after removing older Miners.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16  Page</w:t>
      </w:r>
    </w:p>
    <w:p>
      <w:pPr>
        <w:sectPr>
          <w:pgSz w:w="11900" w:h="16838" w:orient="portrait"/>
          <w:cols w:equalWidth="0" w:num="1">
            <w:col w:w="11240"/>
          </w:cols>
          <w:pgMar w:left="320" w:top="90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Canada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2024 update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From May 2024 to October 2024, construction of the second 11 MW data center in Baie-Comeau was completed. In December, the Company expects to energize the additional 11 MW, increasing the Baie-Comeau data center total to 22 MW.</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cost of developing the second 11 MW data center, including the leasehold improvements, construction of a new building and electrical infrastructure totaled $9.2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position as of September 30,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$9.5 million of PPE at the Baie-Comeau data center, including infrastructure equipment that was repurposed from other data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17  Page</w:t>
      </w:r>
    </w:p>
    <w:p>
      <w:pPr>
        <w:sectPr>
          <w:pgSz w:w="11900" w:h="16838" w:orient="portrait"/>
          <w:cols w:equalWidth="0" w:num="1">
            <w:col w:w="11240"/>
          </w:cols>
          <w:pgMar w:left="320" w:top="90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right="7680" w:firstLine="8"/>
        <w:spacing w:after="0" w:line="500" w:lineRule="auto"/>
        <w:tabs>
          <w:tab w:leader="none" w:pos="1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PERFORMANCE Consolidated Financial &amp; Operational Results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10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9"/>
                <w:szCs w:val="29"/>
                <w:color w:val="auto"/>
                <w:vertAlign w:val="superscript"/>
              </w:rPr>
              <w:t>(3)</w:t>
            </w:r>
          </w:p>
        </w:tc>
        <w:tc>
          <w:tcPr>
            <w:tcW w:w="920" w:type="dxa"/>
            <w:vAlign w:val="bottom"/>
          </w:tcPr>
          <w:p>
            <w:pPr>
              <w:spacing w:after="0"/>
              <w:rPr>
                <w:sz w:val="16"/>
                <w:szCs w:val="16"/>
                <w:color w:val="auto"/>
              </w:rPr>
            </w:pPr>
          </w:p>
        </w:tc>
        <w:tc>
          <w:tcPr>
            <w:tcW w:w="98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9"/>
                <w:szCs w:val="29"/>
                <w:color w:val="auto"/>
                <w:vertAlign w:val="superscript"/>
              </w:rPr>
              <w:t>(3)</w:t>
            </w:r>
          </w:p>
        </w:tc>
        <w:tc>
          <w:tcPr>
            <w:tcW w:w="920" w:type="dxa"/>
            <w:vAlign w:val="bottom"/>
          </w:tcPr>
          <w:p>
            <w:pPr>
              <w:spacing w:after="0"/>
              <w:rPr>
                <w:sz w:val="16"/>
                <w:szCs w:val="16"/>
                <w:color w:val="auto"/>
              </w:rPr>
            </w:pPr>
          </w:p>
        </w:tc>
        <w:tc>
          <w:tcPr>
            <w:tcW w:w="8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Change</w:t>
            </w:r>
          </w:p>
        </w:tc>
        <w:tc>
          <w:tcPr>
            <w:tcW w:w="10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34,596</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10,257</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100,125</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36,593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(43,462)</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(13,180)</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(123,384)</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(47,080)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(11,789)</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(8,866)</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(2,923)</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(33,746)</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(23,259)</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(10,487)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7"/>
        </w:trPr>
        <w:tc>
          <w:tcPr>
            <w:tcW w:w="346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(27,600)</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(8,372)</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(19,228)</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230%</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(53,198)</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(25,887)</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8"/>
        </w:trPr>
        <w:tc>
          <w:tcPr>
            <w:tcW w:w="3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(Revaluation loss) reversal of revaluation</w:t>
            </w:r>
          </w:p>
        </w:tc>
        <w:tc>
          <w:tcPr>
            <w:tcW w:w="10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digital assets</w:t>
            </w:r>
          </w:p>
        </w:tc>
        <w:tc>
          <w:tcPr>
            <w:tcW w:w="1060" w:type="dxa"/>
            <w:vAlign w:val="bottom"/>
            <w:vMerge w:val="continue"/>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(1,183)</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1,183</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vMerge w:val="continue"/>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1,512</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disposition of property, plant and</w:t>
            </w:r>
          </w:p>
        </w:tc>
        <w:tc>
          <w:tcPr>
            <w:tcW w:w="10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(875)</w:t>
            </w: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(606)</w:t>
            </w: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and deposits</w:t>
            </w:r>
          </w:p>
        </w:tc>
        <w:tc>
          <w:tcPr>
            <w:tcW w:w="1060" w:type="dxa"/>
            <w:vAlign w:val="bottom"/>
            <w:vMerge w:val="continue"/>
            <w:shd w:val="clear" w:color="auto" w:fill="CCEEFF"/>
          </w:tcPr>
          <w:p>
            <w:pPr>
              <w:spacing w:after="0"/>
              <w:rPr>
                <w:sz w:val="20"/>
                <w:szCs w:val="20"/>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(217)</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303%</w:t>
            </w:r>
          </w:p>
        </w:tc>
        <w:tc>
          <w:tcPr>
            <w:tcW w:w="108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(1,776)</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1,170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8"/>
        </w:trPr>
        <w:tc>
          <w:tcPr>
            <w:tcW w:w="3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and assets</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(3,628)</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held for sale</w:t>
            </w:r>
          </w:p>
        </w:tc>
        <w:tc>
          <w:tcPr>
            <w:tcW w:w="10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(3,628)</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(9,982)</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6,354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(43,892)</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(18,638)</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(25,254)</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(91,178)</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(59,392)</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(31,786)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7"/>
        </w:trPr>
        <w:tc>
          <w:tcPr>
            <w:tcW w:w="346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7,241</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2,532</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4,709</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186%</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17,367</w:t>
            </w: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12,492</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4,875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(36,651)</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(16,106)</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(20,545)</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(73,811)</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(46,900)</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(26,911)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(401)</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403</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4,583</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4,560</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(36,649)</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(16,507)</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(20,142)</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122%</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(46,877)</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(22,351)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per share (in U.S.</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(0.08)</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(0.17)</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w:t>
            </w:r>
          </w:p>
        </w:tc>
        <w:tc>
          <w:tcPr>
            <w:tcW w:w="10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(0.06)</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(0.19)</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4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revaluation surplus - digital assets,</w:t>
            </w:r>
          </w:p>
        </w:tc>
        <w:tc>
          <w:tcPr>
            <w:tcW w:w="10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721</w:t>
            </w:r>
          </w:p>
        </w:tc>
        <w:tc>
          <w:tcPr>
            <w:tcW w:w="9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12,699</w:t>
            </w:r>
          </w:p>
        </w:tc>
        <w:tc>
          <w:tcPr>
            <w:tcW w:w="10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(824)</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1,545</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188%</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1,567</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11,132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(35,928)</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(17,331)</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(18,597)</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(56,529)</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(45,310)</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(11,219)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4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16,699</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14,527</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2,172</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68,689</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44,823</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23,866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(2)</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(9,836)</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5,999</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(15,835)</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38,563</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18,633</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19,930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(2)</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6,352</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8,883</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(2,531)</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41,424</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27,226</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14,198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hanging="332"/>
        <w:spacing w:after="0" w:line="195" w:lineRule="auto"/>
        <w:tabs>
          <w:tab w:leader="none" w:pos="340" w:val="left"/>
        </w:tabs>
        <w:numPr>
          <w:ilvl w:val="0"/>
          <w:numId w:val="8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14 - </w:t>
      </w:r>
      <w:r>
        <w:rPr>
          <w:rFonts w:ascii="Times New Roman" w:cs="Times New Roman" w:eastAsia="Times New Roman" w:hAnsi="Times New Roman"/>
          <w:sz w:val="18"/>
          <w:szCs w:val="18"/>
          <w:i w:val="1"/>
          <w:iCs w:val="1"/>
          <w:color w:val="auto"/>
        </w:rPr>
        <w:t>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18  Page</w:t>
      </w:r>
    </w:p>
    <w:p>
      <w:pPr>
        <w:sectPr>
          <w:pgSz w:w="11900" w:h="16838" w:orient="portrait"/>
          <w:cols w:equalWidth="0" w:num="1">
            <w:col w:w="11240"/>
          </w:cols>
          <w:pgMar w:left="320" w:top="90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2024 v. Q3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$44.9 million in Q3 2024 compared to $34.6 million in Q3 2023, an increase of $10.3 million, or 30%.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Q3 2024, compared to Q3 2023, are presented in the table below. Revenues increased mostly due to an increase in the Company’s average BTC Hashrate and average BTC price, partially offset by the increase in Network Difficulty and lower BTC earned resulting from lower Block Rewards following the BTC halving event that occurred on April 19,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0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BTC</w:t>
            </w: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7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and revenues, including Volta, for the three months ended September 30, 2023</w:t>
            </w:r>
          </w:p>
        </w:tc>
        <w:tc>
          <w:tcPr>
            <w:tcW w:w="10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1,172</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34,596</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7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BTC halving event on April 19, 2024 on Bitfarms’ quantity of BTC earned during</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Q2 2024</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(689)</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(40,815)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increase in Network Difficulty during Q3 2024 as compared to Q3 2023</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(895)</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(54,092)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198"/>
        </w:trPr>
        <w:tc>
          <w:tcPr>
            <w:tcW w:w="7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Q3 2024 as compared to Q3</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1,115</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66,385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Q3 2024 as compared to Q3 2023</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38,462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198"/>
        </w:trPr>
        <w:tc>
          <w:tcPr>
            <w:tcW w:w="7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Mining variance, Computational power sold in exchange for services variance and</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Volta</w:t>
            </w: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7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BTC and revenues for the three months ended September 30, 2024</w:t>
            </w:r>
          </w:p>
        </w:tc>
        <w:tc>
          <w:tcPr>
            <w:tcW w:w="10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703</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580" w:hanging="333"/>
        <w:spacing w:after="0" w:line="282" w:lineRule="auto"/>
        <w:tabs>
          <w:tab w:leader="none" w:pos="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theoretical BTC earned based on Bitfarms’ actual Hashrate during Q3 2024 assuming the BTC halving event did not occur, compared to actual BTC earned during the same period multiplied by average BTC price</w:t>
      </w:r>
    </w:p>
    <w:p>
      <w:pPr>
        <w:spacing w:after="0" w:line="162" w:lineRule="exact"/>
        <w:rPr>
          <w:sz w:val="20"/>
          <w:szCs w:val="20"/>
          <w:color w:val="auto"/>
        </w:rPr>
      </w:pPr>
    </w:p>
    <w:p>
      <w:pPr>
        <w:ind w:left="580" w:hanging="333"/>
        <w:spacing w:after="0" w:line="282" w:lineRule="auto"/>
        <w:tabs>
          <w:tab w:leader="none" w:pos="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Q3 2024 compared to Q3 2023, based on the change in Network Difficulty, multiplied by Q3 2024 average BTC price</w:t>
      </w:r>
    </w:p>
    <w:p>
      <w:pPr>
        <w:spacing w:after="0" w:line="162" w:lineRule="exact"/>
        <w:rPr>
          <w:sz w:val="20"/>
          <w:szCs w:val="20"/>
          <w:color w:val="auto"/>
        </w:rPr>
      </w:pPr>
    </w:p>
    <w:p>
      <w:pPr>
        <w:ind w:left="580" w:right="20" w:hanging="333"/>
        <w:spacing w:after="0" w:line="282" w:lineRule="auto"/>
        <w:tabs>
          <w:tab w:leader="none" w:pos="5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Q3 2024 compared to Q3 2023, based on the change in Bitfarms’ average Hashrate, multiplied by Q3 2024 average BTC price</w:t>
      </w:r>
    </w:p>
    <w:p>
      <w:pPr>
        <w:spacing w:after="0" w:line="162" w:lineRule="exact"/>
        <w:rPr>
          <w:sz w:val="20"/>
          <w:szCs w:val="20"/>
          <w:color w:val="auto"/>
        </w:rPr>
      </w:pPr>
    </w:p>
    <w:p>
      <w:pPr>
        <w:ind w:left="580" w:hanging="333"/>
        <w:spacing w:after="0"/>
        <w:tabs>
          <w:tab w:leader="none" w:pos="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average BTC price in Q3 2024 compared to Q3 2023 multiplied by BTC earned in Q3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19  Page</w:t>
      </w:r>
    </w:p>
    <w:p>
      <w:pPr>
        <w:sectPr>
          <w:pgSz w:w="11900" w:h="16838" w:orient="portrait"/>
          <w:cols w:equalWidth="0" w:num="1">
            <w:col w:w="11240"/>
          </w:cols>
          <w:pgMar w:left="320" w:top="90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Q3 2024 v. Q3 2023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Q3 2024 and Q3 2023 by country: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180" w:type="dxa"/>
            <w:vAlign w:val="bottom"/>
            <w:tcBorders>
              <w:bottom w:val="single" w:sz="8" w:color="auto"/>
            </w:tcBorders>
          </w:tcPr>
          <w:p>
            <w:pPr>
              <w:spacing w:after="0"/>
              <w:rPr>
                <w:sz w:val="20"/>
                <w:szCs w:val="20"/>
                <w:color w:val="auto"/>
              </w:rPr>
            </w:pPr>
          </w:p>
        </w:tc>
      </w:tr>
      <w:tr>
        <w:trPr>
          <w:trHeight w:val="209"/>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24,901</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24,230</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671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2,171</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3,491</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(1,320)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51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27,072</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27,721</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11,748</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1,746</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10,002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5,129</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904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51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17,781</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6,875</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10,906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5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44,853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34,596</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10,257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5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180" w:type="dxa"/>
            <w:vAlign w:val="bottom"/>
            <w:tcBorders>
              <w:bottom w:val="single" w:sz="8" w:color="auto"/>
            </w:tcBorders>
          </w:tcPr>
          <w:p>
            <w:pPr>
              <w:spacing w:after="0"/>
              <w:rPr>
                <w:sz w:val="24"/>
                <w:szCs w:val="24"/>
                <w:color w:val="auto"/>
              </w:rPr>
            </w:pPr>
          </w:p>
        </w:tc>
      </w:tr>
      <w:tr>
        <w:trPr>
          <w:trHeight w:val="209"/>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51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0.8</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51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7"/>
        </w:trPr>
        <w:tc>
          <w:tcPr>
            <w:tcW w:w="5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5.3</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earned the majority of its revenues during Q3 2024 from its Canadian operations, which accounted for 56% of total revenues, compared to 70% in Q3 2023. The Company’s operations in Paraguay, Argentina, and USA accounted for 26%, 13% and 5% of total revenues in Q3 2024, respectively, compared to 5%, 15% and 10% in Q3 2023,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Q3 2024, revenues from the Company’s operations in Paraguay, Argentina and Canada increased by $10.0 million, $0.9 million and $0.7 million, respectively, compared to Q3 2023. The increases are due to the average Hashrate increase of the Paraguay, Argentina, and Canada operations of 2.5 EH/s, or 833%; 0.6 EH/s, or 75%; and 2.0 EH/s, or 56%, respectively, and the increase in average BTC price, partially offset by the decrease in BTC Block Rewards following the BTC halving event that occurred on April 19, 2024 and the increase in Network Difficulty. Revenues from the US operations decreased by $1.3 million in Q3 2024 as compared to Q3 2023 due to its average Hashrate decrease and the factors mentioned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20  Page</w:t>
      </w:r>
    </w:p>
    <w:p>
      <w:pPr>
        <w:sectPr>
          <w:pgSz w:w="11900" w:h="16838" w:orient="portrait"/>
          <w:cols w:equalWidth="0" w:num="1">
            <w:col w:w="11240"/>
          </w:cols>
          <w:pgMar w:left="320" w:top="90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$136.7 million in YTD Q3 2024 compared to $100.1 million in YTD Q3 2023, an increase of $36.6 million, or 37%.</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YTD Q3 2024, compared to YTD Q3 2023, are presented in the table below. Revenues increased mostly due to the increase in average BTC price and the increase in average Bitfarms’ Hashrate, partially offset by the increase in Network Difficulty and the fewer BTC earned resulting from lower BTC Block Rewards following the BTC halving event that occurred on April 19,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BTC</w:t>
            </w:r>
          </w:p>
        </w:tc>
        <w:tc>
          <w:tcPr>
            <w:tcW w:w="12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1"/>
        </w:trPr>
        <w:tc>
          <w:tcPr>
            <w:tcW w:w="62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BTC and revenues, including Volta, for the nine months ended September 30,</w:t>
            </w:r>
          </w:p>
        </w:tc>
        <w:tc>
          <w:tcPr>
            <w:tcW w:w="1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4"/>
        </w:trPr>
        <w:tc>
          <w:tcPr>
            <w:tcW w:w="6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3,692</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100,125</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BTC halving event on April 19, 2024 on Bitfarms’ quantity of BTC</w:t>
            </w: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earned during YTD Q2 2024</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(1,051)</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(61,686)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98"/>
        </w:trPr>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YTD Q3 2024 as compared to</w:t>
            </w: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YTD Q3 2023</w:t>
            </w: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(2,393)</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(140,506)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YTD Q3 2024 as</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compared to YTD Q3 2023</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2,012</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118,103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198"/>
        </w:trPr>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difference in average BTC price in YTD Q3 2024 as compared to</w:t>
            </w: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YTD Q3 2023</w:t>
            </w: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w:t>
            </w:r>
          </w:p>
        </w:tc>
        <w:tc>
          <w:tcPr>
            <w:tcW w:w="1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120,384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Mining variance, Computational power sold in exchange for services</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variance and change in Volta</w:t>
            </w:r>
          </w:p>
        </w:tc>
        <w:tc>
          <w:tcPr>
            <w:tcW w:w="1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298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BTC and revenues for the nine months ended September 30, 2024</w:t>
            </w:r>
          </w:p>
        </w:tc>
        <w:tc>
          <w:tcPr>
            <w:tcW w:w="1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2,260</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680" w:hanging="379"/>
        <w:spacing w:after="0" w:line="282" w:lineRule="auto"/>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theoretical BTC earned based on Bitfarms’ actual Hashrate during YTD Q3 2024 assuming the BTC halving event did not occur, compared to actual BTC earned during the same period multiplied by average BTC price</w:t>
      </w:r>
    </w:p>
    <w:p>
      <w:pPr>
        <w:spacing w:after="0" w:line="162" w:lineRule="exact"/>
        <w:rPr>
          <w:sz w:val="20"/>
          <w:szCs w:val="20"/>
          <w:color w:val="auto"/>
        </w:rPr>
      </w:pPr>
    </w:p>
    <w:p>
      <w:pPr>
        <w:ind w:left="680" w:right="20" w:hanging="379"/>
        <w:spacing w:after="0" w:line="282"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YTD Q3 2024 compared to YTD Q3 2023, based on the change in Network Difficulty, multiplied by YTD Q3 2024 average BTC price</w:t>
      </w:r>
    </w:p>
    <w:p>
      <w:pPr>
        <w:spacing w:after="0" w:line="162" w:lineRule="exact"/>
        <w:rPr>
          <w:sz w:val="20"/>
          <w:szCs w:val="20"/>
          <w:color w:val="auto"/>
        </w:rPr>
      </w:pPr>
    </w:p>
    <w:p>
      <w:pPr>
        <w:ind w:left="680" w:right="20" w:hanging="379"/>
        <w:spacing w:after="0" w:line="282"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YTD Q3 2024 compared to YTD Q3 2023, based on the change in Bitfarms’ average Hashrate, multiplied by YTD Q3 2024 average BTC price</w:t>
      </w:r>
    </w:p>
    <w:p>
      <w:pPr>
        <w:spacing w:after="0" w:line="162" w:lineRule="exact"/>
        <w:rPr>
          <w:sz w:val="20"/>
          <w:szCs w:val="20"/>
          <w:color w:val="auto"/>
        </w:rPr>
      </w:pPr>
    </w:p>
    <w:p>
      <w:pPr>
        <w:ind w:left="10340" w:right="260" w:hanging="10039"/>
        <w:spacing w:after="0" w:line="845" w:lineRule="auto"/>
        <w:tabs>
          <w:tab w:leader="none" w:pos="68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average BTC price in YTD Q3 2024 compared to YTD Q3 2023 multiplied by BTC earned in YTD Q3 2023 21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13232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YTD Q3 2024 v. YTD Q3 2023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YTD Q3 2024 and YTD Q3 2023 by country: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0" w:type="dxa"/>
            <w:vAlign w:val="bottom"/>
            <w:tcBorders>
              <w:bottom w:val="single" w:sz="8" w:color="auto"/>
            </w:tcBorders>
          </w:tcPr>
          <w:p>
            <w:pPr>
              <w:spacing w:after="0"/>
              <w:rPr>
                <w:sz w:val="20"/>
                <w:szCs w:val="20"/>
                <w:color w:val="auto"/>
              </w:rPr>
            </w:pPr>
          </w:p>
        </w:tc>
      </w:tr>
      <w:tr>
        <w:trPr>
          <w:trHeight w:val="210"/>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85,168</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74,177</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10,991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10,354</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11,675</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(1,321)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50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95,522</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85,852</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9,670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15,608</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5,052</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10,556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5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25,588</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9,221</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16,367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0"/>
        </w:trPr>
        <w:tc>
          <w:tcPr>
            <w:tcW w:w="508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41,196</w:t>
            </w:r>
          </w:p>
        </w:tc>
        <w:tc>
          <w:tcPr>
            <w:tcW w:w="15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14,273</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26,923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7"/>
        </w:trPr>
        <w:tc>
          <w:tcPr>
            <w:tcW w:w="50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100,125</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36,593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50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0" w:type="dxa"/>
            <w:vAlign w:val="bottom"/>
            <w:tcBorders>
              <w:bottom w:val="single" w:sz="8" w:color="auto"/>
            </w:tcBorders>
          </w:tcPr>
          <w:p>
            <w:pPr>
              <w:spacing w:after="0"/>
              <w:rPr>
                <w:sz w:val="24"/>
                <w:szCs w:val="24"/>
                <w:color w:val="auto"/>
              </w:rPr>
            </w:pPr>
          </w:p>
        </w:tc>
      </w:tr>
      <w:tr>
        <w:trPr>
          <w:trHeight w:val="210"/>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50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5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0.5</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0"/>
        </w:trPr>
        <w:tc>
          <w:tcPr>
            <w:tcW w:w="508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5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0.7</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50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4.9</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earned the majority of its revenues from its Canadian operations in YTD Q3 2024, which accounted for 62% of total revenues, compared to 74% in YTD Q3 2023, but accounted for a smaller proportion of total revenues in YTD Q3 2024 largely due to the expansion of operations in Argentina during YTD Q3 2023. The Company’s operations in Argentina, Paraguay and USA accounted for 19%, 11% and 8% of total revenues in YTD Q3 2024, respectively, compared to 9%, 5% and 12% in YTD Q3 2023,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Company’s Canadian operations, the impact of the increases in average BTC price and the average Hashrate increase of 1.0 EH/s, or 28%, were partially offset by the increase in Network Difficulty and the decrease in Block Rewards following the BTC halving event that occurred on April 19, 2024, resulting in revenues increasing by $11.0 million during YTD Q3 2024 as compared to YTD Q3 2023. The average Hashrate increase of the Argentina and Paraguay operations of 0.9 EH/s, or 180%; and 0.9 EH/s, or 450%, respectively, resulted in YTD Q3 2024 revenues increasing by $16.4 million and $10.5 million, respectively, compared to YTD Q3 2023. Revenues from the Company’s USA operations decreased by $1.3 million during YTD Q3 2024 as compared to YTD Q3 2023 due to the increase in Network Difficulty and the decrease in Block Rewards following the BTC halving event that occurred on April 19, 2024, partially offset by the increase in average BTC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22  Page</w:t>
      </w:r>
    </w:p>
    <w:p>
      <w:pPr>
        <w:sectPr>
          <w:pgSz w:w="11900" w:h="16838" w:orient="portrait"/>
          <w:cols w:equalWidth="0" w:num="1">
            <w:col w:w="11240"/>
          </w:cols>
          <w:pgMar w:left="320" w:top="90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7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(26,716)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1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6"/>
              </w:rPr>
              <w:t>31%</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(68,420)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tax recovery - energy and infrastructure</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17,017</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17,017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1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6"/>
              </w:rPr>
              <w:t>32%</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3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8,760</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vMerge w:val="continue"/>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w:t>
            </w:r>
          </w:p>
        </w:tc>
        <w:tc>
          <w:tcPr>
            <w:tcW w:w="940" w:type="dxa"/>
            <w:vAlign w:val="bottom"/>
            <w:vMerge w:val="continue"/>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8,760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(1,097)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14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7"/>
              </w:rPr>
              <w:t>(16)%</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(2,678)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7"/>
        </w:trPr>
        <w:tc>
          <w:tcPr>
            <w:tcW w:w="4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14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6"/>
              </w:rPr>
              <w:t>30%</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(123,384)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2024 v. Q3 2023</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Bitfarms’ cost of revenues for Q3 2024 was $56.6 million, compared to $43.5 million for Q3 2023. The increase in cost of revenues was mainly attributable to:</w:t>
      </w:r>
    </w:p>
    <w:p>
      <w:pPr>
        <w:spacing w:after="0" w:line="1" w:lineRule="exact"/>
        <w:rPr>
          <w:sz w:val="20"/>
          <w:szCs w:val="20"/>
          <w:color w:val="auto"/>
        </w:rPr>
      </w:pPr>
    </w:p>
    <w:p>
      <w:pPr>
        <w:jc w:val="both"/>
        <w:ind w:left="340" w:hanging="332"/>
        <w:spacing w:after="0" w:line="250"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$7.0 million increase in non-cash depreciation and amortization expense mainly attributable to accelerated depreciation of the older Miners that are expected to be replaced through the transformative fleet upgrade as the Company progressively installs new Miners in 2024. Refer to Note 10 - </w:t>
      </w: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to the Financial Statements.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$6.3 million, or 31%, increase in energy and infrastructure expenses, mainly due to Company adding new and more efficient Miners, which increased energy utilization to an average of 247 MW during Q3 2024 versus 197 MW for the same period in 2023, partially offset by Canadian sales taxes on its energy and infrastructure expenses no longer being expensed, resulting in a net increase in total electricity costs of $1.9 million. Refer to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Bitfarms’ cost of revenues was $170.5 million for YTD Q3 2024 compared to $123.4 million for YTD Q3 2023. The increase in cost of revenues was mainly due to:</w:t>
      </w:r>
    </w:p>
    <w:p>
      <w:pPr>
        <w:spacing w:after="0" w:line="1"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$62.1 million increase in non-cash depreciation and amortization expense as explained in the Q3 2024 v. Q3 2023 section above.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$11.0 million, or 19%, increase in energy and infrastructure expenses, mainly due to the Company adding new and more efficient Miners, which increased energy utilization to an average of 220 MW during YTD Q3 2024 versus 185 MW for the same period in 2023, partially offset by Canadian sales taxes on its energy and infrastructure expenses no longer being expensed as explained below, resulting in a net increase in total electricity costs of $8.9 million.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 million assessment, which the Company is challenging, on the Washington State Business &amp; Occupancy Tax on gross receipts covering the periods between the fourth quarter of 2021 and the first quarter of 2024, included in energy and infrastructure expenses, during YTD Q3 2024 compared to nil in YTD Q3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23  Page</w:t>
      </w:r>
    </w:p>
    <w:p>
      <w:pPr>
        <w:sectPr>
          <w:pgSz w:w="11900" w:h="16838" w:orient="portrait"/>
          <w:cols w:equalWidth="0" w:num="1">
            <w:col w:w="11240"/>
          </w:cols>
          <w:pgMar w:left="320" w:top="90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YTD Q3 2024 v. YTD Q3 2023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9" w:lineRule="exact"/>
        <w:rPr>
          <w:sz w:val="20"/>
          <w:szCs w:val="20"/>
          <w:color w:val="auto"/>
        </w:rPr>
      </w:pPr>
    </w:p>
    <w:p>
      <w:pPr>
        <w:jc w:val="both"/>
        <w:ind w:left="340" w:hanging="332"/>
        <w:spacing w:after="0" w:line="250"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$25.8 million sales tax recovery due to the Company receiving confirmation from the provincial tax authorities that Canadian sales taxes paid by the Company from February 5, 2022 onwards are refundable. Refer to Note 23b - </w:t>
      </w:r>
      <w:r>
        <w:rPr>
          <w:rFonts w:ascii="Times New Roman" w:cs="Times New Roman" w:eastAsia="Times New Roman" w:hAnsi="Times New Roman"/>
          <w:sz w:val="18"/>
          <w:szCs w:val="18"/>
          <w:i w:val="1"/>
          <w:iCs w:val="1"/>
          <w:color w:val="auto"/>
        </w:rPr>
        <w:t>Additional Details to the Statement of Profit or Loss and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Profit or Loss (Canadian sales tax refund) </w:t>
      </w:r>
      <w:r>
        <w:rPr>
          <w:rFonts w:ascii="Times New Roman" w:cs="Times New Roman" w:eastAsia="Times New Roman" w:hAnsi="Times New Roman"/>
          <w:sz w:val="18"/>
          <w:szCs w:val="18"/>
          <w:color w:val="auto"/>
        </w:rPr>
        <w:t>to the Financial Statements.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rent expense of $0.3 million, mainly due to the capitalization of the leased Washington data center which was cancelled in Q2 2024.</w:t>
      </w:r>
    </w:p>
    <w:p>
      <w:pPr>
        <w:spacing w:after="0" w:line="203"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&amp;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74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(7,441)</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(17,520)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(5,159)</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(9,928)</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(11,738)</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(19,091)</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professional services</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1,389</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(2,329)</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(6,722)</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(536)</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(1,248)</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(65)</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(218)</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(332)</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355%</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(613)</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other general and</w:t>
            </w:r>
          </w:p>
        </w:tc>
        <w:tc>
          <w:tcPr>
            <w:tcW w:w="110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753</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(27,600)</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(8,372)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(53,198)</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(25,887)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2024 v. Q3 2023</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Bitfarms’ general and administrative (“G&amp;A”) expenses were $27.6 million in Q3 2024, compared to $8.4 million for Q3 2023. The increase of $19.2 million, or 230%, in G&amp;A expense was largely due to:</w:t>
      </w:r>
    </w:p>
    <w:p>
      <w:pPr>
        <w:spacing w:after="0" w:line="1" w:lineRule="exact"/>
        <w:rPr>
          <w:sz w:val="20"/>
          <w:szCs w:val="20"/>
          <w:color w:val="auto"/>
        </w:rPr>
      </w:pPr>
    </w:p>
    <w:p>
      <w:pPr>
        <w:jc w:val="both"/>
        <w:ind w:left="340" w:hanging="332"/>
        <w:spacing w:after="0" w:line="252"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$9.9 million increase in professional services related to legal and accounting fees associated with non-recurring activities including (i) the Stronghold Transaction, (ii) the Strategic Alternatives Review Process conducted by the Bitfarms Special Committee (as defined in Section 19 -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(Unsolicited investors</w:t>
      </w:r>
      <w:r>
        <w:rPr>
          <w:rFonts w:ascii="Times New Roman" w:cs="Times New Roman" w:eastAsia="Times New Roman" w:hAnsi="Times New Roman"/>
          <w:sz w:val="18"/>
          <w:szCs w:val="18"/>
          <w:color w:val="auto"/>
        </w:rPr>
        <w:t>)) during Q3 2024, (iii) the response to the shareholder dispute involving Riot, including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and defense of the shareholder rights plan adopted by the Company on June 20, 2024 and the Company entering into the Settlement Agreement and (iv) the settlement of the employment claim against the Company brought by the Company’s former CEO. During Q3 2024, the Company entered into the Settlement Agreement with Riot, whereby Riot agreed to, among other things, withdraw its June 24, 2024 requisition.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24  Page</w:t>
      </w:r>
    </w:p>
    <w:p>
      <w:pPr>
        <w:sectPr>
          <w:pgSz w:w="11900" w:h="16838" w:orient="portrait"/>
          <w:cols w:equalWidth="0" w:num="1">
            <w:col w:w="11240"/>
          </w:cols>
          <w:pgMar w:left="320" w:top="9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&amp; Administrative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Q3 2024 v. Q3 2023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ind w:left="340" w:hanging="332"/>
        <w:spacing w:after="0" w:line="250"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 million increase in salaries and wages due in part to a final settlement payment to the former CEO totaling $2.5 million, ending any outstanding litigation or claims, and the increase in the Company’s headcount in Q3 2024 compared to Q3 2023 to support global expansion as well as merit and market-based adjustments and cost of living salary increases.</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 million increase in share-based payment due to the granting of 8,080,000 options and 531,000 restricted share units (‘‘RSU’’) during Q3 2024 compared to nil options and RSUs granted in Q3 2023.</w:t>
      </w:r>
    </w:p>
    <w:p>
      <w:pPr>
        <w:jc w:val="both"/>
        <w:ind w:left="340" w:hanging="332"/>
        <w:spacing w:after="0" w:line="255"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increase in insurance, duties and other due to increases in property and liability insurance expense as a result of expanded infrastructure and a larger number of Miners deployed as well as increases in property taxes, other taxes, permits and software licenses to support the global expansion.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 YTD Q3 2024, Bitfarms’ G&amp;A expenses were $53.2 million, compared to $25.9 million for the same period in 2023. The increase of $27.3 million, or 106%, in G&amp;A expenses was mainly due to:</w:t>
      </w:r>
    </w:p>
    <w:p>
      <w:pPr>
        <w:spacing w:after="0" w:line="1"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$13.8 million increase in professional services due to the same reasons explained in the Q3 2024 v. Q3 2023 section above.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$9.4 million increase in salaries and wages due to the increase in the Company’s headcount in YTD Q3 2024 compared to YTD Q3 2023 to support the global expansion as well as merit and market-based adjustments and cost of living salary increases. In addition, the increase is due to the termination payment under the former CEO’s employment agreement totaling $1.6 million which was paid in the second quarter of 2024 after the former CEO’s departure and a final settlement payment of $2.5 million paid in Q3 2024, ending any outstanding litigation or claims.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increase in insurance, duties and other due to increases in property and liability insurance expense as a result of expanded infrastructure and a larger number of Miners deployed as well as increases in property taxes, other taxes, permits and software licenses to support the global expansion.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increase in share-based payment due to higher outstanding options and RSUs as a result of the grants with higher fair values during YTD Q3 2024 compared to YTD Q3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were partially offset by:</w:t>
      </w:r>
    </w:p>
    <w:p>
      <w:pPr>
        <w:spacing w:after="0" w:line="27" w:lineRule="exact"/>
        <w:rPr>
          <w:sz w:val="20"/>
          <w:szCs w:val="20"/>
          <w:color w:val="auto"/>
        </w:rPr>
      </w:pPr>
    </w:p>
    <w:p>
      <w:pPr>
        <w:ind w:left="340" w:right="20" w:hanging="332"/>
        <w:spacing w:after="0" w:line="260"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$2.1 million sales tax recovery due to the Company receiving a confirmation from the provincial tax authorities that Canadian sales taxes paid by the Company from February 5, 2022 onwards are refundable as explained in Section 7b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25  Page</w:t>
      </w:r>
    </w:p>
    <w:p>
      <w:pPr>
        <w:sectPr>
          <w:pgSz w:w="11900" w:h="16838" w:orient="portrait"/>
          <w:cols w:equalWidth="0" w:num="1">
            <w:col w:w="11240"/>
          </w:cols>
          <w:pgMar w:left="320" w:top="90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financial income</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7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ind w:right="7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7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revaluation of warrants</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5,704</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2,196</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3,508</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160%</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13,289</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13,503</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derivative assets and liabilities</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(78)</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277</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457</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780</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1,531</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long-term debt and</w:t>
            </w:r>
          </w:p>
        </w:tc>
        <w:tc>
          <w:tcPr>
            <w:tcW w:w="7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780" w:type="dxa"/>
            <w:vAlign w:val="bottom"/>
            <w:vMerge w:val="continue"/>
          </w:tcPr>
          <w:p>
            <w:pPr>
              <w:spacing w:after="0"/>
              <w:rPr>
                <w:sz w:val="20"/>
                <w:szCs w:val="20"/>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continue"/>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12,835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2,452</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477</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1,975</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414%</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5,174</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920</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4,254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long-term debt and lease liabilities</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(438)</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(1,165)</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(3,458)</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2,293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(218)</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(2,070)</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1,852</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(89)%</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(1,222)</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(5,059)</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3,837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income (expense) on VAT receivable</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1,046</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(2,748)</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2,748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initial recognition of Refundable</w:t>
            </w:r>
          </w:p>
        </w:tc>
        <w:tc>
          <w:tcPr>
            <w:tcW w:w="7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(675)</w:t>
            </w: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(675)</w:t>
            </w: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w:t>
            </w:r>
          </w:p>
        </w:tc>
        <w:tc>
          <w:tcPr>
            <w:tcW w:w="780" w:type="dxa"/>
            <w:vAlign w:val="bottom"/>
            <w:vMerge w:val="continue"/>
            <w:shd w:val="clear" w:color="auto" w:fill="CCEEFF"/>
          </w:tcPr>
          <w:p>
            <w:pPr>
              <w:spacing w:after="0"/>
              <w:rPr>
                <w:sz w:val="20"/>
                <w:szCs w:val="20"/>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vMerge w:val="continue"/>
            <w:shd w:val="clear" w:color="auto" w:fill="CCEEFF"/>
          </w:tcPr>
          <w:p>
            <w:pPr>
              <w:spacing w:after="0"/>
              <w:rPr>
                <w:sz w:val="20"/>
                <w:szCs w:val="20"/>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financial (expenses) income</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(286)</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158</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1,008</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7"/>
        </w:trPr>
        <w:tc>
          <w:tcPr>
            <w:tcW w:w="420" w:type="dxa"/>
            <w:vAlign w:val="bottom"/>
            <w:tcBorders>
              <w:bottom w:val="single" w:sz="8" w:color="auto"/>
            </w:tcBorders>
            <w:shd w:val="clear" w:color="auto" w:fill="CCEEFF"/>
          </w:tcPr>
          <w:p>
            <w:pPr>
              <w:spacing w:after="0"/>
              <w:rPr>
                <w:sz w:val="18"/>
                <w:szCs w:val="18"/>
                <w:color w:val="auto"/>
              </w:rPr>
            </w:pPr>
          </w:p>
        </w:tc>
        <w:tc>
          <w:tcPr>
            <w:tcW w:w="3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7,241</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2,532</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4,709</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186%</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17,367</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12,492</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4,875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2024 v. Q3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net financial income was $7.2 million for Q3 2024, compared to $2.5 million for Q3 2023. The $4.7 million increase was primarily related to:</w:t>
      </w:r>
    </w:p>
    <w:p>
      <w:pPr>
        <w:spacing w:after="0" w:line="225" w:lineRule="exact"/>
        <w:rPr>
          <w:sz w:val="20"/>
          <w:szCs w:val="20"/>
          <w:color w:val="auto"/>
        </w:rPr>
      </w:pPr>
    </w:p>
    <w:p>
      <w:pPr>
        <w:ind w:left="340" w:right="20" w:hanging="332"/>
        <w:spacing w:after="0" w:line="261"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 million increase in gain on revaluation of warrants due to the decrease in the fair value of the warrant liabilities for the 2023 private placements in Q3 2024 compared to a lower decrease in the fair value of the warrant liabilities for the 2021 private placements in Q3 2023.</w:t>
      </w:r>
    </w:p>
    <w:p>
      <w:pPr>
        <w:ind w:left="340" w:right="20" w:hanging="332"/>
        <w:spacing w:after="0" w:line="250"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 million favorable increase in gain (loss) on foreign exchange due to the revaluation of the Company’s net monetary liabilities denominated in foreign currencies, following the weakening Argentine Pesos at the end of Q3 2024 compared to the end of Q3 2023.</w:t>
      </w:r>
    </w:p>
    <w:p>
      <w:pPr>
        <w:ind w:left="340" w:right="20" w:hanging="332"/>
        <w:spacing w:after="0" w:line="250"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$2.0 million increase in interest income due to the Company’s higher average cash balance during Q3 2024 compared to Q3 2023. Refer to Section 10a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for details of the Company’s cash flows.</w:t>
      </w:r>
    </w:p>
    <w:p>
      <w:pPr>
        <w:jc w:val="both"/>
        <w:ind w:left="340" w:hanging="332"/>
        <w:spacing w:after="0" w:line="255"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decrease in provision expense on VAT receivable due to the Company writing off the Argentine VAT receivable balance to nil as a result of the political and economic uncertainties in Argentina during the fourth quarter of 2023. During Q3 2024, the Argentine VAT receivable provision expenses were classified within the respective expense and asset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8308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6"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80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26  Page</w:t>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financial income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Q3 2024 v. Q3 2023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9" w:lineRule="exact"/>
        <w:rPr>
          <w:sz w:val="20"/>
          <w:szCs w:val="20"/>
          <w:color w:val="auto"/>
        </w:rPr>
      </w:pPr>
    </w:p>
    <w:p>
      <w:pPr>
        <w:jc w:val="both"/>
        <w:ind w:left="340" w:hanging="332"/>
        <w:spacing w:after="0" w:line="252"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 million decrease in the gain on disposition of marketable securities due to less funds being sent to Argentina in Q3 2024 compared to Q3 2023 as the capital expenditures related to the first data center were mostly paid in 2022 and 2023. Since the third quarter of 2021, the Company has been utilizing a mechanism to fund its Argentina expansion through the acquisition of marketable securities and in-kind contribution of those securities to its wholly-owned Argentinian subsidiary that it controls. The subsequent disposition of those marketable securities in exchange for Argentine Pesos gave rise to a gain as the equivalent amount received in Argentine Pesos exceeded the amount of Argentine Pesos the Company would have received from a direct foreign currency exchange.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Bitfarms’ net financial income was $17.4 million for YTD Q3 2024, compared to $12.5 million for YTD Q3 2023. The $4.9 million increase was mainly due to:</w:t>
      </w:r>
    </w:p>
    <w:p>
      <w:pPr>
        <w:spacing w:after="0" w:line="181" w:lineRule="exact"/>
        <w:rPr>
          <w:sz w:val="20"/>
          <w:szCs w:val="20"/>
          <w:color w:val="auto"/>
        </w:rPr>
      </w:pPr>
    </w:p>
    <w:p>
      <w:pPr>
        <w:jc w:val="both"/>
        <w:ind w:left="340" w:hanging="332"/>
        <w:spacing w:after="0" w:line="257"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$13.5 million favorable increase in gain (loss) on revaluation of warrants due to the decrease in the fair value of the warrant liabilities for the 2021 and 2023 private placements in YTD Q3 2024 compared to a slight increase in the fair value of the warrant liabilities for the 2021 private placements in YTD Q3 2023.</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 million decrease in loss on foreign exchange due to the same factors explained in the Q3 2024 v. Q3 2023 section above.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$4.3 million increase in interest income due to the same factors explained in the Q3 2024 v. Q3 2023 section above.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 million decrease in provision expense on VAT receivable due to the same factors explained in the Q3 2024 v. Q3 2023 section above.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million decrease in interest expense due to (i) the extinguishment in February 2023 of the BlockFi Loan that commenced on February 18, 2022 as described below and (ii) the NYDIG ABL LLC (“NYDIG”) Loan that commenced on June 15, 2022 and was fully repaid in February 2024.</w:t>
      </w:r>
    </w:p>
    <w:p>
      <w:pPr>
        <w:ind w:left="340" w:hanging="332"/>
        <w:spacing w:after="0" w:line="260"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$1.0 million favorable increase in other financial income (expenses) mainly due to the interest earned on the refund of Canadian sales taxes from prior periods. See Section 7b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offset by:</w:t>
      </w:r>
    </w:p>
    <w:p>
      <w:pPr>
        <w:spacing w:after="0" w:line="27"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$12.8 million gain on extinguishment of long-term debt and lease liabilities during YTD Q3 2023. In February 2023:</w:t>
      </w:r>
    </w:p>
    <w:p>
      <w:pPr>
        <w:spacing w:after="0" w:line="9" w:lineRule="exact"/>
        <w:rPr>
          <w:rFonts w:ascii="Times New Roman" w:cs="Times New Roman" w:eastAsia="Times New Roman" w:hAnsi="Times New Roman"/>
          <w:sz w:val="18"/>
          <w:szCs w:val="18"/>
          <w:color w:val="auto"/>
        </w:rPr>
      </w:pPr>
    </w:p>
    <w:p>
      <w:pPr>
        <w:ind w:left="900" w:hanging="244"/>
        <w:spacing w:after="0" w:line="250" w:lineRule="auto"/>
        <w:tabs>
          <w:tab w:leader="none" w:pos="9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BlockFi Lending LLC (“BlockFi”) and the Company negotiated a settlement of the loan in its entirety for cash consideration of $7.8 million, resulting in a gain on extinguishment of long-term debt of $12.6 million; and</w:t>
      </w:r>
    </w:p>
    <w:p>
      <w:pPr>
        <w:jc w:val="both"/>
        <w:ind w:left="900" w:hanging="244"/>
        <w:spacing w:after="0" w:line="250" w:lineRule="auto"/>
        <w:tabs>
          <w:tab w:leader="none" w:pos="9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negotiated a modification to its lease agreement with Reliz Ltd. (where BlockFi was the lender to Reliz Ltd.) in order to settle its outstanding lease liability of $0.4 million for a payment of $0.1 million. As a result, a gain on extinguishment of lease liabilities was recognized in the amount of $0.3 million.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$9.7 million decrease in gain on disposition of marketable securities due to less funds being sent to Argentina during YTD Q3 2024 compared to YTD Q3 2023, as the capital expenditures related to the first data center were mostly paid in 2022 and 2023. The Company has been utilizing a mechanism since Q3 2021 to fund its Argentina expansion as explained in the Q3 2024 v. Q3 2023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80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27  Page</w:t>
      </w:r>
    </w:p>
    <w:p>
      <w:pPr>
        <w:sectPr>
          <w:pgSz w:w="11900" w:h="16838" w:orient="portrait"/>
          <w:cols w:equalWidth="0" w:num="1">
            <w:col w:w="11240"/>
          </w:cols>
          <w:pgMar w:left="320" w:top="90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SELECTED QUARTERLY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Comparative figures have been restated and will be corrected in subsequently filed quarterly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earnings per share)</w:t>
            </w:r>
          </w:p>
        </w:tc>
        <w:tc>
          <w:tcPr>
            <w:tcW w:w="10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Q2 2024</w:t>
            </w: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Q1 2024</w:t>
            </w: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Q4 2023</w:t>
            </w: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Q3 2023</w:t>
            </w: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2023</w:t>
            </w: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Q1 2023</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Q4 2022</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41,548</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50,317</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46,241</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34,596</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35,479</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30,050</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27,037</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(36,649)</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(26,599)</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(5,980)</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(57,159)</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(16,507)</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(26,083)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(4,287)</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(13,084)</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(0.08)</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(0.07)</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(0.02)</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(0.19)</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(36,651)</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(24,895)</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(12,265)</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(57,537)</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(16,106)</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(26,177)</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(4,617)</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(12,893)</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expense</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(1,693)</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(302)</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91</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368</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846</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1,354</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57,337</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38,977</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21,790</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21,767</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20,528</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20,700</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20,777</w:t>
            </w: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10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20" w:type="dxa"/>
            <w:vAlign w:val="bottom"/>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EBITDA </w:t>
            </w:r>
            <w:r>
              <w:rPr>
                <w:rFonts w:ascii="Times New Roman" w:cs="Times New Roman" w:eastAsia="Times New Roman" w:hAnsi="Times New Roman"/>
                <w:sz w:val="28"/>
                <w:szCs w:val="28"/>
                <w:b w:val="1"/>
                <w:bCs w:val="1"/>
                <w:color w:val="auto"/>
                <w:vertAlign w:val="superscript"/>
              </w:rPr>
              <w:t>(1)</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(9,836)</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21,989</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26,410</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(35,656)</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6,029</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(4,803)</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17,437</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10,955</w:t>
            </w:r>
          </w:p>
        </w:tc>
        <w:tc>
          <w:tcPr>
            <w:tcW w:w="0" w:type="dxa"/>
            <w:vAlign w:val="bottom"/>
          </w:tcPr>
          <w:p>
            <w:pPr>
              <w:spacing w:after="0"/>
              <w:rPr>
                <w:sz w:val="1"/>
                <w:szCs w:val="1"/>
                <w:color w:val="auto"/>
              </w:rPr>
            </w:pPr>
          </w:p>
        </w:tc>
      </w:tr>
      <w:tr>
        <w:trPr>
          <w:trHeight w:val="257"/>
        </w:trPr>
        <w:tc>
          <w:tcPr>
            <w:tcW w:w="352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EBITDA margin </w:t>
            </w:r>
            <w:r>
              <w:rPr>
                <w:rFonts w:ascii="Times New Roman" w:cs="Times New Roman" w:eastAsia="Times New Roman" w:hAnsi="Times New Roman"/>
                <w:sz w:val="29"/>
                <w:szCs w:val="29"/>
                <w:b w:val="1"/>
                <w:bCs w:val="1"/>
                <w:color w:val="auto"/>
                <w:vertAlign w:val="superscript"/>
              </w:rPr>
              <w:t>(1)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5,159</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1,675</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3,094</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3,906</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2,011</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2,462</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2,536</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28,567</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(1,183)</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1,183</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(2,695)</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(23,284)</w:t>
            </w: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long-term debt and</w:t>
            </w:r>
          </w:p>
        </w:tc>
        <w:tc>
          <w:tcPr>
            <w:tcW w:w="10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vMerge w:val="continue"/>
            <w:shd w:val="clear" w:color="auto" w:fill="CCEEFF"/>
          </w:tcPr>
          <w:p>
            <w:pPr>
              <w:spacing w:after="0"/>
              <w:rPr>
                <w:sz w:val="20"/>
                <w:szCs w:val="20"/>
                <w:color w:val="auto"/>
              </w:rPr>
            </w:pP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(12,835)</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 short-term prepaid</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deposits, assets held for sale, equipment and</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prepayments, property, plant and</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3,628</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right-of-use assets</w:t>
            </w:r>
          </w:p>
        </w:tc>
        <w:tc>
          <w:tcPr>
            <w:tcW w:w="1080" w:type="dxa"/>
            <w:vAlign w:val="bottom"/>
            <w:vMerge w:val="continue"/>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2,270</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9,982</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(8,903)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revaluation of warrants</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(5,704)</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1,455</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(9,040)</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37,874</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(2,196)</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1,189</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1,221</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(780)</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(413)</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(338)</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(999)</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(4,120)</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(4,955)</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(2,171)</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Service fees not associated with ongoing</w:t>
            </w:r>
          </w:p>
        </w:tc>
        <w:tc>
          <w:tcPr>
            <w:tcW w:w="10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9,253</w:t>
            </w: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080" w:type="dxa"/>
            <w:vAlign w:val="bottom"/>
            <w:vMerge w:val="continue"/>
            <w:shd w:val="clear" w:color="auto" w:fill="CCEEFF"/>
          </w:tcPr>
          <w:p>
            <w:pPr>
              <w:spacing w:after="0"/>
              <w:rPr>
                <w:sz w:val="20"/>
                <w:szCs w:val="20"/>
                <w:color w:val="auto"/>
              </w:rPr>
            </w:pP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3,096</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and general and administrative</w:t>
            </w: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52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9"/>
                <w:szCs w:val="29"/>
                <w:color w:val="auto"/>
                <w:vertAlign w:val="superscript"/>
              </w:rPr>
              <w:t>(2)</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(18,468)</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2,387</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2,485</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2,366</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2,333</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2,097</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4,632</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2,284</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811</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7,635</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3,610</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3,760</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2,785</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50"/>
        </w:trPr>
        <w:tc>
          <w:tcPr>
            <w:tcW w:w="3520" w:type="dxa"/>
            <w:vAlign w:val="bottom"/>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28"/>
                <w:szCs w:val="28"/>
                <w:b w:val="1"/>
                <w:bCs w:val="1"/>
                <w:color w:val="auto"/>
                <w:vertAlign w:val="superscript"/>
              </w:rPr>
              <w:t>(1)</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6,352</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11,618</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23,324</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16,332</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8,883</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9,968</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8,375</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3,930</w:t>
            </w:r>
          </w:p>
        </w:tc>
        <w:tc>
          <w:tcPr>
            <w:tcW w:w="0" w:type="dxa"/>
            <w:vAlign w:val="bottom"/>
          </w:tcPr>
          <w:p>
            <w:pPr>
              <w:spacing w:after="0"/>
              <w:rPr>
                <w:sz w:val="1"/>
                <w:szCs w:val="1"/>
                <w:color w:val="auto"/>
              </w:rPr>
            </w:pPr>
          </w:p>
        </w:tc>
      </w:tr>
      <w:tr>
        <w:trPr>
          <w:trHeight w:val="264"/>
        </w:trPr>
        <w:tc>
          <w:tcPr>
            <w:tcW w:w="352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29"/>
                <w:szCs w:val="29"/>
                <w:b w:val="1"/>
                <w:bCs w:val="1"/>
                <w:color w:val="auto"/>
                <w:vertAlign w:val="superscript"/>
              </w:rPr>
              <w:t>(1)</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hanging="332"/>
        <w:spacing w:after="0" w:line="196" w:lineRule="auto"/>
        <w:tabs>
          <w:tab w:leader="none" w:pos="340" w:val="left"/>
        </w:tabs>
        <w:numPr>
          <w:ilvl w:val="0"/>
          <w:numId w:val="1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Financial Measures and Ratios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340" w:hanging="332"/>
        <w:spacing w:after="0" w:line="204" w:lineRule="auto"/>
        <w:tabs>
          <w:tab w:leader="none" w:pos="340" w:val="left"/>
        </w:tabs>
        <w:numPr>
          <w:ilvl w:val="0"/>
          <w:numId w:val="1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28  Page</w:t>
      </w:r>
    </w:p>
    <w:p>
      <w:pPr>
        <w:sectPr>
          <w:pgSz w:w="11900" w:h="16838" w:orient="portrait"/>
          <w:cols w:equalWidth="0" w:num="1">
            <w:col w:w="11240"/>
          </w:cols>
          <w:pgMar w:left="320" w:top="90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SELECTED QUARTERLY INFORMATION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BTC mining industry experiences volatility, it is not generally subject to seasonality or seasonal effects. Seasonal fluctuations in energy supply, however, may impact the Company’s operations. The majority of the Company’s operations during the above periods were in Quebec, where power was sourced directly from Hydro-Québec, Hydro-Magog, Hydro-Sherbrooke and the City of Baie-Comeau. The Company also had operations in Washington State that were powered by the Grant County Power Utility District as well as operations in Paraguay that were powered by ANDE and Compañía de Luz y Fuerza S.A (“CLYFSA”). Energy rates in Argentina increase during winter months of May through September, after which they return to their regular rates. Among other phenomena, changing weather in Quebec, Washington State, Paraguay or Argentina may impact seasonal electricity needs, and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reduces the risk and extent of extreme weather and other external factors unduly affecting the Company’s overall performance.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Q3 2024 details, refer to Section 7A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10A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and Section 6</w:t>
      </w:r>
    </w:p>
    <w:p>
      <w:pPr>
        <w:spacing w:after="0" w:line="29" w:lineRule="exact"/>
        <w:rPr>
          <w:sz w:val="20"/>
          <w:szCs w:val="20"/>
          <w:color w:val="auto"/>
        </w:rPr>
      </w:pPr>
    </w:p>
    <w:p>
      <w:pPr>
        <w:ind w:left="120" w:hanging="112"/>
        <w:spacing w:after="0"/>
        <w:tabs>
          <w:tab w:leader="none" w:pos="1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United States Expansion, Paraguay Expansion, Argentina Expansion and Canada Expansion</w:t>
      </w:r>
      <w:r>
        <w:rPr>
          <w:rFonts w:ascii="Times New Roman" w:cs="Times New Roman" w:eastAsia="Times New Roman" w:hAnsi="Times New Roman"/>
          <w:sz w:val="18"/>
          <w:szCs w:val="18"/>
          <w:color w:val="auto"/>
        </w:rPr>
        <w:t>)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29  Page</w:t>
      </w:r>
    </w:p>
    <w:p>
      <w:pPr>
        <w:sectPr>
          <w:pgSz w:w="11900" w:h="16838" w:orient="portrait"/>
          <w:cols w:equalWidth="0" w:num="1">
            <w:col w:w="11240"/>
          </w:cols>
          <w:pgMar w:left="320" w:top="9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right="5780" w:firstLine="8"/>
        <w:spacing w:after="0" w:line="503" w:lineRule="auto"/>
        <w:tabs>
          <w:tab w:leader="none" w:pos="1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NON-IFRS AND OTHER FINANCIAL MEASURES AND RATIOS Non-IFRS financial measures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23 -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12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gridSpan w:val="2"/>
          </w:tcPr>
          <w:p>
            <w:pPr>
              <w:spacing w:after="0"/>
              <w:rPr>
                <w:sz w:val="2"/>
                <w:szCs w:val="2"/>
                <w:color w:val="auto"/>
              </w:rPr>
            </w:pPr>
          </w:p>
        </w:tc>
      </w:tr>
      <w:tr>
        <w:trPr>
          <w:trHeight w:val="191"/>
        </w:trPr>
        <w:tc>
          <w:tcPr>
            <w:tcW w:w="12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44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Gross Profit adjusted to exclude: (i) non-Mining revenues;</w:t>
            </w:r>
          </w:p>
        </w:tc>
        <w:tc>
          <w:tcPr>
            <w:tcW w:w="562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  To assess profitability after power costs in cryptocurrency production</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  depreciation  and  amortization;  (iii)  purchase  of</w:t>
            </w:r>
          </w:p>
        </w:tc>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other infrastructure costs. Power costs are the largest variable</w:t>
            </w:r>
          </w:p>
        </w:tc>
      </w:tr>
      <w:tr>
        <w:trPr>
          <w:trHeight w:val="216"/>
        </w:trPr>
        <w:tc>
          <w:tcPr>
            <w:tcW w:w="1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electrical components and other expenses; (iv) electrician</w:t>
            </w:r>
          </w:p>
        </w:tc>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 in Mining.</w:t>
            </w:r>
          </w:p>
        </w:tc>
      </w:tr>
      <w:tr>
        <w:trPr>
          <w:trHeight w:val="216"/>
        </w:trPr>
        <w:tc>
          <w:tcPr>
            <w:tcW w:w="1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and payroll taxes; and (v) sales tax recovery.</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gross</w:t>
            </w:r>
          </w:p>
        </w:tc>
      </w:tr>
      <w:tr>
        <w:trPr>
          <w:trHeight w:val="234"/>
        </w:trPr>
        <w:tc>
          <w:tcPr>
            <w:tcW w:w="120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profitability of the Company’s core digital asset Mining operations.</w:t>
            </w:r>
          </w:p>
        </w:tc>
      </w:tr>
      <w:tr>
        <w:trPr>
          <w:trHeight w:val="191"/>
        </w:trPr>
        <w:tc>
          <w:tcPr>
            <w:tcW w:w="12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EBITDA</w:t>
            </w:r>
          </w:p>
        </w:tc>
        <w:tc>
          <w:tcPr>
            <w:tcW w:w="44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Net income (loss) adjusted to exclude: (i) interest expense;</w:t>
            </w:r>
          </w:p>
        </w:tc>
        <w:tc>
          <w:tcPr>
            <w:tcW w:w="3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To assess profitability before the impact of different financing methods,</w:t>
            </w:r>
          </w:p>
        </w:tc>
      </w:tr>
      <w:tr>
        <w:trPr>
          <w:trHeight w:val="216"/>
        </w:trPr>
        <w:tc>
          <w:tcPr>
            <w:tcW w:w="1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  income  tax  expense;  and  (iii)  depreciation  and</w:t>
            </w:r>
          </w:p>
        </w:tc>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depreciation  of  capital  assets  and  amortization  of</w:t>
            </w:r>
          </w:p>
        </w:tc>
      </w:tr>
      <w:tr>
        <w:trPr>
          <w:trHeight w:val="216"/>
        </w:trPr>
        <w:tc>
          <w:tcPr>
            <w:tcW w:w="1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r>
      <w:tr>
        <w:trPr>
          <w:trHeight w:val="216"/>
        </w:trPr>
        <w:tc>
          <w:tcPr>
            <w:tcW w:w="1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To provide the users of the MD&amp;A with additional information to assist</w:t>
            </w:r>
          </w:p>
        </w:tc>
      </w:tr>
      <w:tr>
        <w:trPr>
          <w:trHeight w:val="216"/>
        </w:trPr>
        <w:tc>
          <w:tcPr>
            <w:tcW w:w="1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them in understanding components of the Company’s financial results,</w:t>
            </w:r>
          </w:p>
        </w:tc>
      </w:tr>
      <w:tr>
        <w:trPr>
          <w:trHeight w:val="216"/>
        </w:trPr>
        <w:tc>
          <w:tcPr>
            <w:tcW w:w="1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including  a  more  complete  understanding  of  factors  and  trends</w:t>
            </w:r>
          </w:p>
        </w:tc>
      </w:tr>
      <w:tr>
        <w:trPr>
          <w:trHeight w:val="216"/>
        </w:trPr>
        <w:tc>
          <w:tcPr>
            <w:tcW w:w="1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affecting its performance.</w:t>
            </w:r>
          </w:p>
        </w:tc>
      </w:tr>
      <w:tr>
        <w:trPr>
          <w:trHeight w:val="216"/>
        </w:trPr>
        <w:tc>
          <w:tcPr>
            <w:tcW w:w="1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Used  by  Management  to  facilitate  comparisons  of  operating</w:t>
            </w:r>
          </w:p>
        </w:tc>
      </w:tr>
      <w:tr>
        <w:trPr>
          <w:trHeight w:val="216"/>
        </w:trPr>
        <w:tc>
          <w:tcPr>
            <w:tcW w:w="12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 operating</w:t>
            </w:r>
          </w:p>
        </w:tc>
      </w:tr>
      <w:tr>
        <w:trPr>
          <w:trHeight w:val="234"/>
        </w:trPr>
        <w:tc>
          <w:tcPr>
            <w:tcW w:w="120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budgets and forecasts.</w:t>
            </w:r>
          </w:p>
        </w:tc>
      </w:tr>
      <w:tr>
        <w:trPr>
          <w:trHeight w:val="191"/>
        </w:trPr>
        <w:tc>
          <w:tcPr>
            <w:tcW w:w="12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44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EBITDA adjusted to exclude: (i) share-based payment; (ii)</w:t>
            </w:r>
          </w:p>
        </w:tc>
        <w:tc>
          <w:tcPr>
            <w:tcW w:w="3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To assess profitability before the impact of all of the items in</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finance expenses; (iii) asset impairment charges;</w:t>
            </w:r>
          </w:p>
        </w:tc>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calculating EBITDA in addition to certain other non-cash expenses.</w:t>
            </w:r>
          </w:p>
        </w:tc>
      </w:tr>
      <w:tr>
        <w:trPr>
          <w:trHeight w:val="216"/>
        </w:trPr>
        <w:tc>
          <w:tcPr>
            <w:tcW w:w="1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(iv) realized gains or losses on disposition of digital assets</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16"/>
        </w:trPr>
        <w:tc>
          <w:tcPr>
            <w:tcW w:w="1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(reversal of) revaluation loss on digital assets; (v) gain</w:t>
            </w:r>
          </w:p>
        </w:tc>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profitability of the Company’s core performance across time periods.</w:t>
            </w:r>
          </w:p>
        </w:tc>
      </w:tr>
      <w:tr>
        <w:trPr>
          <w:trHeight w:val="216"/>
        </w:trPr>
        <w:tc>
          <w:tcPr>
            <w:tcW w:w="1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disposition of marketable securities, gains or losses on</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Used  by  Management  to  facilitate  comparisons  of  operating</w:t>
            </w:r>
          </w:p>
        </w:tc>
      </w:tr>
      <w:tr>
        <w:trPr>
          <w:trHeight w:val="216"/>
        </w:trPr>
        <w:tc>
          <w:tcPr>
            <w:tcW w:w="1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assets and liabilities and discount expense on</w:t>
            </w:r>
          </w:p>
        </w:tc>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 operating</w:t>
            </w:r>
          </w:p>
        </w:tc>
      </w:tr>
      <w:tr>
        <w:trPr>
          <w:trHeight w:val="261"/>
        </w:trPr>
        <w:tc>
          <w:tcPr>
            <w:tcW w:w="1200" w:type="dxa"/>
            <w:vAlign w:val="bottom"/>
          </w:tcPr>
          <w:p>
            <w:pPr>
              <w:spacing w:after="0"/>
              <w:rPr>
                <w:sz w:val="22"/>
                <w:szCs w:val="22"/>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VAT receivable; (vi) loss (gain) on revaluation of warrants</w:t>
            </w:r>
          </w:p>
        </w:tc>
        <w:tc>
          <w:tcPr>
            <w:tcW w:w="30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budgets and forecasts.</w:t>
            </w:r>
          </w:p>
        </w:tc>
      </w:tr>
    </w:tbl>
    <w:p>
      <w:pPr>
        <w:ind w:left="1360"/>
        <w:spacing w:after="0"/>
        <w:tabs>
          <w:tab w:leader="none" w:pos="1740" w:val="left"/>
          <w:tab w:leader="none" w:pos="2440" w:val="left"/>
          <w:tab w:leader="none" w:pos="3200" w:val="left"/>
          <w:tab w:leader="none" w:pos="3760" w:val="left"/>
          <w:tab w:leader="none" w:pos="4220" w:val="left"/>
          <w:tab w:leader="none" w:pos="4640" w:val="left"/>
          <w:tab w:leader="none" w:pos="4960" w:val="left"/>
        </w:tabs>
        <w:rPr>
          <w:sz w:val="20"/>
          <w:szCs w:val="20"/>
          <w:color w:val="auto"/>
        </w:rPr>
      </w:pPr>
      <w:r>
        <w:rPr>
          <w:rFonts w:ascii="Times New Roman" w:cs="Times New Roman" w:eastAsia="Times New Roman" w:hAnsi="Times New Roman"/>
          <w:sz w:val="18"/>
          <w:szCs w:val="18"/>
          <w:color w:val="auto"/>
        </w:rPr>
        <w:t>and</w:t>
        <w:tab/>
        <w:t>warrant</w:t>
        <w:tab/>
        <w:t>issuance</w:t>
        <w:tab/>
        <w:t>costs;</w:t>
        <w:tab/>
        <w:t>(vii)</w:t>
        <w:tab/>
        <w:t>loss</w:t>
        <w:tab/>
        <w:t>on</w:t>
        <w:tab/>
        <w:t>currency</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exchange; (viii) sales tax recovery; and (iv) other non-</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recurring items that do not reflect the core performance of</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30  Page</w:t>
      </w:r>
    </w:p>
    <w:p>
      <w:pPr>
        <w:sectPr>
          <w:pgSz w:w="11900" w:h="16838" w:orient="portrait"/>
          <w:cols w:equalWidth="0" w:num="1">
            <w:col w:w="11240"/>
          </w:cols>
          <w:pgMar w:left="320" w:top="90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measures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1"/>
        </w:trPr>
        <w:tc>
          <w:tcPr>
            <w:tcW w:w="13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Direct Cost</w:t>
            </w:r>
          </w:p>
        </w:tc>
        <w:tc>
          <w:tcPr>
            <w:tcW w:w="42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Cost of revenues adjusted to exclude: (i) depreciation and</w:t>
            </w:r>
          </w:p>
        </w:tc>
        <w:tc>
          <w:tcPr>
            <w:tcW w:w="56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the Company’s power costs, the largest variable expense in</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(ii) purchases of electrical components; (iii)</w:t>
            </w: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electrician salaries and payroll taxes; (iv) infrastructure;</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 Company’s</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 sales tax recovery; and (vi) other direct expenses.</w:t>
            </w: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time periods.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 to</w:t>
            </w:r>
          </w:p>
        </w:tc>
      </w:tr>
      <w:tr>
        <w:trPr>
          <w:trHeight w:val="234"/>
        </w:trPr>
        <w:tc>
          <w:tcPr>
            <w:tcW w:w="13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period and to prepare annual operating budgets and forecasts.</w:t>
            </w:r>
          </w:p>
        </w:tc>
      </w:tr>
      <w:tr>
        <w:trPr>
          <w:trHeight w:val="191"/>
        </w:trPr>
        <w:tc>
          <w:tcPr>
            <w:tcW w:w="13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Total Cash Cost</w:t>
            </w:r>
          </w:p>
        </w:tc>
        <w:tc>
          <w:tcPr>
            <w:tcW w:w="42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The  sum  of  cost  of  revenues  and  general  and</w:t>
            </w:r>
          </w:p>
        </w:tc>
        <w:tc>
          <w:tcPr>
            <w:tcW w:w="56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assess the total cash cost of the Company’s core digital asset Mining</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administrative  expenses  before:  (i)  depreciation  and</w:t>
            </w: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operations.</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(ii) non-cash service expense (iii) purchases</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electrical components; (iv) electrician salaries and</w:t>
            </w: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liquidity impact of the Company’s mining activities across time</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payroll taxes; (v) share-based payment; (vi) other direct</w:t>
            </w: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 (vii) sales tax recovery; and (viii) other non-</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 to</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recurring items that do not reflect the core performance</w:t>
            </w:r>
          </w:p>
        </w:tc>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period and to prepare annual operating budgets and forecasts.</w:t>
            </w:r>
          </w:p>
        </w:tc>
      </w:tr>
      <w:tr>
        <w:trPr>
          <w:trHeight w:val="234"/>
        </w:trPr>
        <w:tc>
          <w:tcPr>
            <w:tcW w:w="13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 the Company.</w:t>
            </w:r>
          </w:p>
        </w:tc>
        <w:tc>
          <w:tcPr>
            <w:tcW w:w="49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433"/>
        </w:trPr>
        <w:tc>
          <w:tcPr>
            <w:tcW w:w="1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56"/>
        </w:trPr>
        <w:tc>
          <w:tcPr>
            <w:tcW w:w="13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980" w:type="dxa"/>
            <w:vAlign w:val="bottom"/>
            <w:tcBorders>
              <w:right w:val="single" w:sz="8" w:color="auto"/>
            </w:tcBorders>
          </w:tcPr>
          <w:p>
            <w:pPr>
              <w:ind w:left="4720"/>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ratios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5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0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54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Gross Mining</w:t>
            </w:r>
          </w:p>
        </w:tc>
        <w:tc>
          <w:tcPr>
            <w:tcW w:w="56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after power costs in cryptocurrency production,</w:t>
            </w:r>
          </w:p>
        </w:tc>
      </w:tr>
      <w:tr>
        <w:trPr>
          <w:trHeight w:val="216"/>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Mining</w:t>
            </w:r>
          </w:p>
        </w:tc>
        <w:tc>
          <w:tcPr>
            <w:tcW w:w="4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profit by Mining related revenues.</w:t>
            </w: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largest variable expense in Mining.</w:t>
            </w:r>
          </w:p>
        </w:tc>
      </w:tr>
      <w:tr>
        <w:trPr>
          <w:trHeight w:val="220"/>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540" w:type="dxa"/>
            <w:vAlign w:val="bottom"/>
          </w:tcPr>
          <w:p>
            <w:pPr>
              <w:spacing w:after="0"/>
              <w:rPr>
                <w:sz w:val="19"/>
                <w:szCs w:val="19"/>
                <w:color w:val="auto"/>
              </w:rPr>
            </w:pP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profitability</w:t>
            </w:r>
          </w:p>
        </w:tc>
      </w:t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the Company’s core digital asset Mining operations, exclusive of</w:t>
            </w:r>
          </w:p>
        </w:tc>
      </w:t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and certain general and administrative</w:t>
            </w:r>
          </w:p>
        </w:tc>
      </w:tr>
      <w:tr>
        <w:trPr>
          <w:trHeight w:val="234"/>
        </w:trPr>
        <w:tc>
          <w:tcPr>
            <w:tcW w:w="10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expenses.</w:t>
            </w:r>
          </w:p>
        </w:tc>
      </w:tr>
      <w:tr>
        <w:trPr>
          <w:trHeight w:val="187"/>
        </w:trPr>
        <w:tc>
          <w:tcPr>
            <w:tcW w:w="10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EBITDA</w:t>
            </w:r>
          </w:p>
        </w:tc>
        <w:tc>
          <w:tcPr>
            <w:tcW w:w="454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EBITDA by</w:t>
            </w:r>
          </w:p>
        </w:tc>
        <w:tc>
          <w:tcPr>
            <w:tcW w:w="56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before the impact of different financing methods,</w:t>
            </w:r>
          </w:p>
        </w:tc>
      </w:tr>
      <w:tr>
        <w:trPr>
          <w:trHeight w:val="220"/>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depreciation  of  capital  assets  and  amortization  of</w:t>
            </w:r>
          </w:p>
        </w:tc>
      </w:t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Used  by  Management  to  facilitate  comparisons  of  operating</w:t>
            </w:r>
          </w:p>
        </w:tc>
      </w:t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 operating</w:t>
            </w:r>
          </w:p>
        </w:tc>
      </w:t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budgets and forecasts.</w:t>
            </w:r>
          </w:p>
        </w:tc>
      </w:t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Useful for providing users of the MD&amp;A with additional information to</w:t>
            </w:r>
          </w:p>
        </w:tc>
      </w:t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assist them in understanding components of the Company’s financial</w:t>
            </w:r>
          </w:p>
        </w:tc>
      </w:t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results, including a more complete understanding of factors and trends</w:t>
            </w:r>
          </w:p>
        </w:tc>
      </w:tr>
      <w:tr>
        <w:trPr>
          <w:trHeight w:val="234"/>
        </w:trPr>
        <w:tc>
          <w:tcPr>
            <w:tcW w:w="10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affecting its performance.</w:t>
            </w:r>
          </w:p>
        </w:tc>
      </w:tr>
      <w:tr>
        <w:trPr>
          <w:trHeight w:val="187"/>
        </w:trPr>
        <w:tc>
          <w:tcPr>
            <w:tcW w:w="10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454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Adjusted</w:t>
            </w:r>
          </w:p>
        </w:tc>
        <w:tc>
          <w:tcPr>
            <w:tcW w:w="56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color w:val="auto"/>
              </w:rPr>
              <w:t>●  To assess profitability before the impact of all of the items in calculating</w:t>
            </w:r>
          </w:p>
        </w:tc>
      </w:tr>
      <w:tr>
        <w:trPr>
          <w:trHeight w:val="216"/>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EBITDA by Revenues.</w:t>
            </w: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EBITDA in addition to certain other non-cash expenses.</w:t>
            </w:r>
          </w:p>
        </w:tc>
      </w:tr>
      <w:tr>
        <w:trPr>
          <w:trHeight w:val="220"/>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540" w:type="dxa"/>
            <w:vAlign w:val="bottom"/>
          </w:tcPr>
          <w:p>
            <w:pPr>
              <w:spacing w:after="0"/>
              <w:rPr>
                <w:sz w:val="19"/>
                <w:szCs w:val="19"/>
                <w:color w:val="auto"/>
              </w:rPr>
            </w:pP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provide a consistent comparable metric for profitability of the</w:t>
            </w:r>
          </w:p>
        </w:tc>
      </w:t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core performance across time periods.</w:t>
            </w:r>
          </w:p>
        </w:tc>
      </w:t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Used by Management to facilitate comparisons of operating performance</w:t>
            </w:r>
          </w:p>
        </w:tc>
      </w:tr>
      <w:tr>
        <w:trPr>
          <w:trHeight w:val="216"/>
        </w:trPr>
        <w:tc>
          <w:tcPr>
            <w:tcW w:w="10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period to period and to prepare annual operating budgets and</w:t>
            </w:r>
          </w:p>
        </w:tc>
      </w:tr>
      <w:tr>
        <w:trPr>
          <w:trHeight w:val="234"/>
        </w:trPr>
        <w:tc>
          <w:tcPr>
            <w:tcW w:w="10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forecasts.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80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32  Page</w:t>
      </w:r>
    </w:p>
    <w:p>
      <w:pPr>
        <w:sectPr>
          <w:pgSz w:w="11900" w:h="16838" w:orient="portrait"/>
          <w:cols w:equalWidth="0" w:num="1">
            <w:col w:w="11240"/>
          </w:cols>
          <w:pgMar w:left="320" w:top="90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ratios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4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tcPr>
          <w:p>
            <w:pPr>
              <w:jc w:val="right"/>
              <w:ind w:right="485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1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Direct Cost</w:t>
            </w:r>
          </w:p>
        </w:tc>
        <w:tc>
          <w:tcPr>
            <w:tcW w:w="446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color w:val="auto"/>
              </w:rPr>
              <w:t>The amount obtained when dividing Direct Cost by the</w:t>
            </w:r>
          </w:p>
        </w:tc>
        <w:tc>
          <w:tcPr>
            <w:tcW w:w="56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   To assess the Company’s power costs, the largest variable expense in</w:t>
            </w:r>
          </w:p>
        </w:tc>
      </w:tr>
      <w:tr>
        <w:trPr>
          <w:trHeight w:val="220"/>
        </w:trPr>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 BTC</w:t>
            </w: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quantity of BTC earned.</w:t>
            </w: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 Company’s</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time periods.</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 to</w:t>
            </w:r>
          </w:p>
        </w:tc>
      </w:tr>
      <w:tr>
        <w:trPr>
          <w:trHeight w:val="234"/>
        </w:trPr>
        <w:tc>
          <w:tcPr>
            <w:tcW w:w="11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period and to prepare annual operating budgets and forecasts.</w:t>
            </w:r>
          </w:p>
        </w:tc>
      </w:tr>
      <w:tr>
        <w:trPr>
          <w:trHeight w:val="187"/>
        </w:trPr>
        <w:tc>
          <w:tcPr>
            <w:tcW w:w="11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Total Cash</w:t>
            </w:r>
          </w:p>
        </w:tc>
        <w:tc>
          <w:tcPr>
            <w:tcW w:w="446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color w:val="auto"/>
              </w:rPr>
              <w:t>The amount obtained when dividing Total Cash cost by</w:t>
            </w:r>
          </w:p>
        </w:tc>
        <w:tc>
          <w:tcPr>
            <w:tcW w:w="56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  To assess the total cash cost of the Company’s core digital asset Mining</w:t>
            </w:r>
          </w:p>
        </w:tc>
      </w:tr>
      <w:tr>
        <w:trPr>
          <w:trHeight w:val="216"/>
        </w:trPr>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Cost per</w:t>
            </w: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quantity of BTC earned.</w:t>
            </w: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operations.</w:t>
            </w:r>
          </w:p>
        </w:tc>
      </w:tr>
      <w:tr>
        <w:trPr>
          <w:trHeight w:val="220"/>
        </w:trPr>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BTC</w:t>
            </w:r>
          </w:p>
        </w:tc>
        <w:tc>
          <w:tcPr>
            <w:tcW w:w="4460" w:type="dxa"/>
            <w:vAlign w:val="bottom"/>
          </w:tcPr>
          <w:p>
            <w:pPr>
              <w:spacing w:after="0"/>
              <w:rPr>
                <w:sz w:val="19"/>
                <w:szCs w:val="19"/>
                <w:color w:val="auto"/>
              </w:rPr>
            </w:pP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liquidity impact of the Company’s mining activities across time</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tc>
      </w:tr>
      <w:tr>
        <w:trPr>
          <w:trHeight w:val="234"/>
        </w:trPr>
        <w:tc>
          <w:tcPr>
            <w:tcW w:w="11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the following supplemental financial ratios in assessing operating performance.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5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0" w:type="dxa"/>
            <w:vAlign w:val="bottom"/>
          </w:tcPr>
          <w:p>
            <w:pPr>
              <w:spacing w:after="0"/>
              <w:rPr>
                <w:sz w:val="1"/>
                <w:szCs w:val="1"/>
                <w:color w:val="auto"/>
              </w:rPr>
            </w:pPr>
          </w:p>
        </w:tc>
      </w:tr>
      <w:tr>
        <w:trPr>
          <w:trHeight w:val="187"/>
        </w:trPr>
        <w:tc>
          <w:tcPr>
            <w:tcW w:w="11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50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Gross profit by</w:t>
            </w:r>
          </w:p>
        </w:tc>
        <w:tc>
          <w:tcPr>
            <w:tcW w:w="5620" w:type="dxa"/>
            <w:vAlign w:val="bottom"/>
            <w:gridSpan w:val="2"/>
          </w:tcPr>
          <w:p>
            <w:pPr>
              <w:ind w:left="160"/>
              <w:spacing w:after="0" w:line="188" w:lineRule="exact"/>
              <w:rPr>
                <w:sz w:val="20"/>
                <w:szCs w:val="20"/>
                <w:color w:val="auto"/>
              </w:rPr>
            </w:pPr>
            <w:r>
              <w:rPr>
                <w:rFonts w:ascii="Times New Roman" w:cs="Times New Roman" w:eastAsia="Times New Roman" w:hAnsi="Times New Roman"/>
                <w:sz w:val="18"/>
                <w:szCs w:val="18"/>
                <w:color w:val="auto"/>
              </w:rPr>
              <w:t>●  To assess profitability of the Company across time periods.</w:t>
            </w:r>
          </w:p>
        </w:tc>
        <w:tc>
          <w:tcPr>
            <w:tcW w:w="0" w:type="dxa"/>
            <w:vAlign w:val="bottom"/>
          </w:tcPr>
          <w:p>
            <w:pPr>
              <w:spacing w:after="0"/>
              <w:rPr>
                <w:sz w:val="1"/>
                <w:szCs w:val="1"/>
                <w:color w:val="auto"/>
              </w:rPr>
            </w:pPr>
          </w:p>
        </w:tc>
      </w:tr>
      <w:tr>
        <w:trPr>
          <w:trHeight w:val="238"/>
        </w:trPr>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Revenues.</w:t>
            </w:r>
          </w:p>
        </w:tc>
        <w:tc>
          <w:tcPr>
            <w:tcW w:w="5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  To assess operational profitability of the Company across time periods.</w:t>
            </w:r>
          </w:p>
        </w:tc>
        <w:tc>
          <w:tcPr>
            <w:tcW w:w="0" w:type="dxa"/>
            <w:vAlign w:val="bottom"/>
          </w:tcPr>
          <w:p>
            <w:pPr>
              <w:spacing w:after="0"/>
              <w:rPr>
                <w:sz w:val="1"/>
                <w:szCs w:val="1"/>
                <w:color w:val="auto"/>
              </w:rPr>
            </w:pPr>
          </w:p>
        </w:tc>
      </w:tr>
      <w:tr>
        <w:trPr>
          <w:trHeight w:val="187"/>
        </w:trPr>
        <w:tc>
          <w:tcPr>
            <w:tcW w:w="11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450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Operating</w:t>
            </w:r>
          </w:p>
        </w:tc>
        <w:tc>
          <w:tcPr>
            <w:tcW w:w="5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income (loss) by Revenues.</w:t>
            </w:r>
          </w:p>
        </w:tc>
        <w:tc>
          <w:tcPr>
            <w:tcW w:w="4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11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Consolidated Net Income (loss) to EBITDA and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jc w:val="right"/>
              <w:ind w:right="11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 Change</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11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34,596</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10,257</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100,125</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36,593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(36,651)</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(16,106)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(73,811)</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(46,900)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expense</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(4,009)</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2,538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21,767</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7,062</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62,995</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62,148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(8,760)</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(9,836)</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5,999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38,563</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18,633</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19,930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5,159</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2,011</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3,148</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9,928</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7,009</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and assets held for</w:t>
            </w: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3,628</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3,628</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sale</w:t>
            </w:r>
          </w:p>
        </w:tc>
        <w:tc>
          <w:tcPr>
            <w:tcW w:w="1000" w:type="dxa"/>
            <w:vAlign w:val="bottom"/>
            <w:vMerge w:val="continue"/>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3,628</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9,982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Revaluation loss (reversal of revaluation loss) on</w:t>
            </w:r>
          </w:p>
        </w:tc>
        <w:tc>
          <w:tcPr>
            <w:tcW w:w="10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000" w:type="dxa"/>
            <w:vAlign w:val="bottom"/>
            <w:vMerge w:val="continue"/>
            <w:shd w:val="clear" w:color="auto" w:fill="CCEEFF"/>
          </w:tcPr>
          <w:p>
            <w:pPr>
              <w:spacing w:after="0"/>
              <w:rPr>
                <w:sz w:val="20"/>
                <w:szCs w:val="20"/>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shd w:val="clear" w:color="auto" w:fill="CCEEFF"/>
          </w:tcPr>
          <w:p>
            <w:pPr>
              <w:spacing w:after="0"/>
              <w:rPr>
                <w:sz w:val="20"/>
                <w:szCs w:val="20"/>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(1,512)</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long-term debt and lease</w:t>
            </w: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0" w:type="dxa"/>
            <w:vAlign w:val="bottom"/>
            <w:vMerge w:val="continue"/>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continue"/>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(12,835)</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revaluation of warrants</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(5,704)</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(2,196)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(13,289)</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(780)</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(4,120)</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(1,531)</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(11,246)</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9,715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 not associated with ongoing operations</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9,253</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9,253</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12,479</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and general and administrative</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8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9"/>
                <w:szCs w:val="29"/>
                <w:color w:val="auto"/>
                <w:vertAlign w:val="superscript"/>
              </w:rPr>
              <w:t>(2)</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2,366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(16,081)</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6,796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 and other</w:t>
            </w: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4,632</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3,640</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7,727</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10,185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6,352</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8,883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41,424</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27,226</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14,198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8308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7"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340" w:hanging="332"/>
        <w:spacing w:after="0" w:line="204" w:lineRule="auto"/>
        <w:tabs>
          <w:tab w:leader="none" w:pos="340" w:val="left"/>
        </w:tabs>
        <w:numPr>
          <w:ilvl w:val="0"/>
          <w:numId w:val="1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34  Page</w:t>
      </w:r>
    </w:p>
    <w:p>
      <w:pPr>
        <w:sectPr>
          <w:pgSz w:w="11900" w:h="16838" w:orient="portrait"/>
          <w:cols w:equalWidth="0" w:num="1">
            <w:col w:w="11240"/>
          </w:cols>
          <w:pgMar w:left="320" w:top="90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Gross Mining Profit and Gross Mining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19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 Change  % Change</w:t>
            </w: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(11,789)</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(8,866)</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(2,923)</w:t>
            </w: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(33,746)</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(23,259)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Non-Mining revenues¹</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(1,451)</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(1,697)</w:t>
            </w:r>
          </w:p>
        </w:tc>
        <w:tc>
          <w:tcPr>
            <w:tcW w:w="22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246</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(3,510)</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(3,775)</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21,767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7,062</w:t>
            </w:r>
          </w:p>
        </w:tc>
        <w:tc>
          <w:tcPr>
            <w:tcW w:w="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125,143</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62,995</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62,148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(8,760)</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1,097</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2,678</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3,050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12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(14,338)</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infrastructure²</w:t>
            </w:r>
          </w:p>
        </w:tc>
        <w:tc>
          <w:tcPr>
            <w:tcW w:w="1200" w:type="dxa"/>
            <w:vAlign w:val="bottom"/>
            <w:vMerge w:val="continue"/>
          </w:tcPr>
          <w:p>
            <w:pPr>
              <w:spacing w:after="0"/>
              <w:rPr>
                <w:sz w:val="20"/>
                <w:szCs w:val="20"/>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2,138</w:t>
            </w:r>
          </w:p>
        </w:tc>
        <w:tc>
          <w:tcPr>
            <w:tcW w:w="2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(2,138)</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6,155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127</w:t>
            </w:r>
          </w:p>
        </w:tc>
        <w:tc>
          <w:tcPr>
            <w:tcW w:w="7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nm</w:t>
            </w: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1,222</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(343)</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16,699</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14,527</w:t>
            </w:r>
          </w:p>
        </w:tc>
        <w:tc>
          <w:tcPr>
            <w:tcW w:w="22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2,172</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68,689</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44,823</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23,866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2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4"/>
              </w:rPr>
              <w:t>Change</w:t>
            </w: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44,853</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34,596</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10,257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1"/>
        </w:trPr>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Less Mining related revenues for the purpose of</w:t>
            </w: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calculating gross Mining margin:</w:t>
            </w: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revenues³</w:t>
            </w:r>
          </w:p>
        </w:tc>
        <w:tc>
          <w:tcPr>
            <w:tcW w:w="2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(43,402)   </w:t>
            </w:r>
            <w:r>
              <w:rPr>
                <w:rFonts w:ascii="Times New Roman" w:cs="Times New Roman" w:eastAsia="Times New Roman" w:hAnsi="Times New Roman"/>
                <w:sz w:val="18"/>
                <w:szCs w:val="18"/>
                <w:color w:val="auto"/>
              </w:rPr>
              <w:t>(32,899)</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(10,503)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(133,208)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3,510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hanging="332"/>
        <w:spacing w:after="0" w:line="26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tax recovery relating to energy and infrastructure expenses has been allocated to their respective periods; refer to Note 23b - </w:t>
      </w:r>
      <w:r>
        <w:rPr>
          <w:rFonts w:ascii="Times New Roman" w:cs="Times New Roman" w:eastAsia="Times New Roman" w:hAnsi="Times New Roman"/>
          <w:sz w:val="18"/>
          <w:szCs w:val="18"/>
          <w:i w:val="1"/>
          <w:iCs w:val="1"/>
          <w:color w:val="auto"/>
        </w:rPr>
        <w:t>Additional Details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Statement of Profit or Loss and Comprehensive Profit or Loss (Canadian sales tax refund) </w:t>
      </w:r>
      <w:r>
        <w:rPr>
          <w:rFonts w:ascii="Times New Roman" w:cs="Times New Roman" w:eastAsia="Times New Roman" w:hAnsi="Times New Roman"/>
          <w:sz w:val="18"/>
          <w:szCs w:val="18"/>
          <w:color w:val="auto"/>
        </w:rPr>
        <w:t>to the Financial Statements.</w:t>
      </w:r>
    </w:p>
    <w:p>
      <w:pPr>
        <w:ind w:left="340" w:hanging="332"/>
        <w:spacing w:after="0" w:line="260"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revenues include Revenues from sale of computational power used for hashing calculations and Revenue from computational power sold in exchange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35  Page</w:t>
      </w:r>
    </w:p>
    <w:p>
      <w:pPr>
        <w:sectPr>
          <w:pgSz w:w="11900" w:h="16838" w:orient="portrait"/>
          <w:cols w:equalWidth="0" w:num="1">
            <w:col w:w="11240"/>
          </w:cols>
          <w:pgMar w:left="320" w:top="90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Direct Cost and Direct Cost per BTC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4340" w:type="dxa"/>
            <w:vAlign w:val="bottom"/>
          </w:tcPr>
          <w:p>
            <w:pPr>
              <w:spacing w:after="0"/>
              <w:rPr>
                <w:sz w:val="16"/>
                <w:szCs w:val="16"/>
                <w:color w:val="auto"/>
              </w:rPr>
            </w:pP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8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86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43,462</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13,180</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123,384</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47,080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(7,062)</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(62,995)</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(62,148)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8,760</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(832)</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1"/>
        </w:trPr>
        <w:tc>
          <w:tcPr>
            <w:tcW w:w="43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 and infrastructure</w:t>
            </w: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9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2,138</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9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20,493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7"/>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8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25,284</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17,658</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7,626</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61,413</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48,963</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12,450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703</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2,260</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7"/>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36,000</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15,100</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20,900</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27,200</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13,300</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13,900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Total Cash Cost and Total Cash Cost per BTC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4340" w:type="dxa"/>
            <w:vAlign w:val="bottom"/>
          </w:tcPr>
          <w:p>
            <w:pPr>
              <w:spacing w:after="0"/>
              <w:rPr>
                <w:sz w:val="16"/>
                <w:szCs w:val="16"/>
                <w:color w:val="auto"/>
              </w:rPr>
            </w:pP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8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86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43,462</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13,180</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123,384</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47,080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27,600</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8,372</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19,228</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53,198</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25,887</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27,311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84,242</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51,834</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32,408</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223,662</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149,271</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74,391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(7,062)</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(62,995)</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(62,148)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56"/>
        </w:trPr>
        <w:tc>
          <w:tcPr>
            <w:tcW w:w="43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Non-cash service expense </w:t>
            </w:r>
            <w:r>
              <w:rPr>
                <w:rFonts w:ascii="Times New Roman" w:cs="Times New Roman" w:eastAsia="Times New Roman" w:hAnsi="Times New Roman"/>
                <w:sz w:val="29"/>
                <w:szCs w:val="29"/>
                <w:color w:val="auto"/>
                <w:vertAlign w:val="superscript"/>
              </w:rPr>
              <w:t>(2)</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(564)</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8,760</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(5,159)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(3,148)</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(9,928)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 not associated with ongoing operations</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(9,253)</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(9,253)</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(12,479)</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1"/>
        </w:trPr>
        <w:tc>
          <w:tcPr>
            <w:tcW w:w="43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 and infrastructure</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34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 xml:space="preserve">and general and administrative expenses </w:t>
            </w:r>
            <w:r>
              <w:rPr>
                <w:rFonts w:ascii="Times New Roman" w:cs="Times New Roman" w:eastAsia="Times New Roman" w:hAnsi="Times New Roman"/>
                <w:sz w:val="29"/>
                <w:szCs w:val="29"/>
                <w:color w:val="auto"/>
                <w:vertAlign w:val="superscript"/>
              </w:rPr>
              <w:t>(1)</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2,366</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16,081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22,877</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(2,500)</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(2,523)</w:t>
            </w: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nm</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(5,659)</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(6,169)</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36,840</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24,414</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12,426</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92,052</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69,931</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22,121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703</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2,260</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7"/>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Cost per BTC (in U.S. dollars)</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52,400</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20,800</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31,600</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40,700</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18,900</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21,800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8308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9"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Sales tax recovery relating to energy and infrastructure and general and administrative expenses have been allocated to their respective periods; refer to</w:t>
      </w:r>
    </w:p>
    <w:p>
      <w:pPr>
        <w:spacing w:after="0" w:line="2" w:lineRule="exact"/>
        <w:rPr>
          <w:sz w:val="20"/>
          <w:szCs w:val="20"/>
          <w:color w:val="auto"/>
        </w:rPr>
      </w:pPr>
    </w:p>
    <w:p>
      <w:pPr>
        <w:ind w:left="340"/>
        <w:spacing w:after="0" w:line="249" w:lineRule="auto"/>
        <w:rPr>
          <w:sz w:val="20"/>
          <w:szCs w:val="20"/>
          <w:color w:val="auto"/>
        </w:rPr>
      </w:pPr>
      <w:r>
        <w:rPr>
          <w:rFonts w:ascii="Times New Roman" w:cs="Times New Roman" w:eastAsia="Times New Roman" w:hAnsi="Times New Roman"/>
          <w:sz w:val="18"/>
          <w:szCs w:val="18"/>
          <w:color w:val="auto"/>
        </w:rPr>
        <w:t xml:space="preserve">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Financial Statements.</w:t>
      </w:r>
    </w:p>
    <w:p>
      <w:pPr>
        <w:ind w:left="340" w:hanging="332"/>
        <w:spacing w:after="0" w:line="181" w:lineRule="auto"/>
        <w:tabs>
          <w:tab w:leader="none" w:pos="340" w:val="left"/>
        </w:tabs>
        <w:numPr>
          <w:ilvl w:val="0"/>
          <w:numId w:val="1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Non-cash service expense, included in infrastructure, which was exchanged for computational power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36  Page</w:t>
      </w:r>
    </w:p>
    <w:p>
      <w:pPr>
        <w:sectPr>
          <w:pgSz w:w="11900" w:h="16838" w:orient="portrait"/>
          <w:cols w:equalWidth="0" w:num="1">
            <w:col w:w="11240"/>
          </w:cols>
          <w:pgMar w:left="320" w:top="90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below, the Company’s current financing strategy involves (a) strategically selling the BTC it earns and the BTC it holds in treasury and (b) utilizing short-term debt, long-term debt and equity instruments (including the 2024 ATM Program) to fund its expansion activities, operating expenses and debt service requirements. The Company has sufficient liquidity for its 2024 growth plan and anticipates requiring additional funds to complete its 2025 growth plans discussed in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Further, recent changes, as well as any future changes, in national and provincial leadership may result in changing governmental perceptions and actions surrounding importation policies and the availability of foreign currency reserves for commerce. In late 2023, Argentina held a presidential election resulting in the election of a new president, Javier Milei. Many of the foreign exchange restrictions implemented in 2019 are still in place, particularly for imports and dividend payments related to transactions before December 13, 2023. The Milei administration has not set a specific date for lifting currency controls, and is not expected to before Argentina’s mid-term elections, which are scheduled to be held in 2025. The ongoing implications for economic and monetary policy, and its impact on Bitfarms, cannot be ascertained as of the date of this MD&amp;A.</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sends funds periodically to its Argentinian subsidiary to fund its expansion based on supplier invoices that are paid by the Argentinian subsidiary. The Argentinian subsidiary provides Hashrate services for a market-based fee to its Canadian parent which, in turn, purchases that Hashrate to consolidate and sell to a third-party Mining Pool for which the Canadian parent is compensated in BTC. Accordingly, the Argentinian subsidiary is not structured or contemplated to generate substantial cash flows above its internal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37  Page</w:t>
      </w:r>
    </w:p>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tc>
        <w:tc>
          <w:tcPr>
            <w:tcW w:w="16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0" w:type="dxa"/>
            <w:vAlign w:val="bottom"/>
            <w:tcBorders>
              <w:bottom w:val="single" w:sz="8" w:color="auto"/>
            </w:tcBorders>
          </w:tcPr>
          <w:p>
            <w:pPr>
              <w:spacing w:after="0"/>
              <w:rPr>
                <w:sz w:val="24"/>
                <w:szCs w:val="24"/>
                <w:color w:val="auto"/>
              </w:rPr>
            </w:pPr>
          </w:p>
        </w:tc>
      </w:tr>
      <w:tr>
        <w:trPr>
          <w:trHeight w:val="210"/>
        </w:trPr>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5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30,887</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53,151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(used in):</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14,104</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10,028</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4,076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(268,862)</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(35,373)</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(233,489)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243,664</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41,268</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202,396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5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7"/>
        </w:trPr>
        <w:tc>
          <w:tcPr>
            <w:tcW w:w="55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72,913</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46,775</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26,138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 amounted to $14.1 million during YTD Q3 2024 compared to cash flows from operating activities of $10.0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YTD Q3 2023, primarily driven by:</w:t>
      </w:r>
    </w:p>
    <w:p>
      <w:pPr>
        <w:spacing w:after="0" w:line="9" w:lineRule="exact"/>
        <w:rPr>
          <w:sz w:val="20"/>
          <w:szCs w:val="20"/>
          <w:color w:val="auto"/>
        </w:rPr>
      </w:pPr>
    </w:p>
    <w:p>
      <w:pPr>
        <w:ind w:left="660" w:right="20" w:hanging="328"/>
        <w:spacing w:after="0" w:line="250"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proceeds from sale of digital assets earned of $23.5 million as a result of selling BTC in YTD Q3 2024 with significantly higher prices compared to YTD Q3 2023;</w:t>
      </w:r>
    </w:p>
    <w:p>
      <w:pPr>
        <w:ind w:left="660" w:hanging="328"/>
        <w:spacing w:after="0" w:line="250"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interest and financial income of $3.8 million in YTD Q3 2024 compared to paying $7.9 million of interest and financial expenses in YTD Q3 2023 mainly due to eliminating the remaining NYDIG debt balance in February 2024; and</w:t>
      </w:r>
    </w:p>
    <w:p>
      <w:pPr>
        <w:ind w:left="660" w:hanging="328"/>
        <w:spacing w:after="0" w:line="260"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energy and infrastructure costs of $6.0 million, including sales tax recovery on energy and infrastructure cost as explained in Section 7B - </w:t>
      </w:r>
      <w:r>
        <w:rPr>
          <w:rFonts w:ascii="Times New Roman" w:cs="Times New Roman" w:eastAsia="Times New Roman" w:hAnsi="Times New Roman"/>
          <w:sz w:val="18"/>
          <w:szCs w:val="18"/>
          <w:i w:val="1"/>
          <w:iCs w:val="1"/>
          <w:color w:val="auto"/>
        </w:rPr>
        <w:t xml:space="preserve">Financial Performance - Cost of Revenues </w:t>
      </w:r>
      <w:r>
        <w:rPr>
          <w:rFonts w:ascii="Times New Roman" w:cs="Times New Roman" w:eastAsia="Times New Roman" w:hAnsi="Times New Roman"/>
          <w:sz w:val="18"/>
          <w:szCs w:val="18"/>
          <w:color w:val="auto"/>
        </w:rPr>
        <w:t>of this MD&amp;A.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660" w:hanging="328"/>
        <w:spacing w:after="0" w:line="250"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cash G&amp;A expenses of $24.4 million as explained in Section 7B - </w:t>
      </w:r>
      <w:r>
        <w:rPr>
          <w:rFonts w:ascii="Times New Roman" w:cs="Times New Roman" w:eastAsia="Times New Roman" w:hAnsi="Times New Roman"/>
          <w:sz w:val="18"/>
          <w:szCs w:val="18"/>
          <w:i w:val="1"/>
          <w:iCs w:val="1"/>
          <w:color w:val="auto"/>
        </w:rPr>
        <w:t>Financial Performance - General &amp; Administrative expenses</w:t>
      </w:r>
      <w:r>
        <w:rPr>
          <w:rFonts w:ascii="Times New Roman" w:cs="Times New Roman" w:eastAsia="Times New Roman" w:hAnsi="Times New Roman"/>
          <w:sz w:val="18"/>
          <w:szCs w:val="18"/>
          <w:color w:val="auto"/>
        </w:rPr>
        <w:t xml:space="preserve"> of this MD&amp;A;</w:t>
      </w: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 in working capital of $4.9 million as explained in Section 11 </w:t>
      </w:r>
      <w:r>
        <w:rPr>
          <w:rFonts w:ascii="Times New Roman" w:cs="Times New Roman" w:eastAsia="Times New Roman" w:hAnsi="Times New Roman"/>
          <w:sz w:val="18"/>
          <w:szCs w:val="18"/>
          <w:i w:val="1"/>
          <w:iCs w:val="1"/>
          <w:color w:val="auto"/>
        </w:rPr>
        <w:t>- Financial Position</w:t>
      </w:r>
      <w:r>
        <w:rPr>
          <w:rFonts w:ascii="Times New Roman" w:cs="Times New Roman" w:eastAsia="Times New Roman" w:hAnsi="Times New Roman"/>
          <w:sz w:val="18"/>
          <w:szCs w:val="18"/>
          <w:color w:val="auto"/>
        </w:rPr>
        <w:t xml:space="preserve"> of this MD&amp;A;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taxes paid, with $1.2 million paid during YTD Q3 2024, compared to $7.3 million refunded during YTD Q3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investing activities increased by $233.5 million during YTD Q3 2024 compared to YTD Q3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flow used in investing activities is driven primarily by:</w:t>
      </w:r>
    </w:p>
    <w:p>
      <w:pPr>
        <w:spacing w:after="0" w:line="27" w:lineRule="exact"/>
        <w:rPr>
          <w:sz w:val="20"/>
          <w:szCs w:val="20"/>
          <w:color w:val="auto"/>
        </w:rPr>
      </w:pPr>
    </w:p>
    <w:p>
      <w:pPr>
        <w:ind w:left="660" w:hanging="328"/>
        <w:spacing w:after="0" w:line="250"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$166.1 million of net additions of PPE during YTD Q3 2024, compared to $40.7 million for the same period in 2023, primarily due to the acquisition of Miners and infrastructure build-out; and</w:t>
      </w:r>
    </w:p>
    <w:p>
      <w:pPr>
        <w:ind w:left="660" w:hanging="328"/>
        <w:spacing w:after="0" w:line="260"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$96.5 million in advance payments mainly for the transformative fleet upgrade during YTD Q3 2024, compared to $3.5 million in advanced payments during YTD Q3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jc w:val="both"/>
        <w:ind w:left="660" w:hanging="328"/>
        <w:spacing w:after="0" w:line="255"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 million of net proceeds received in YTD Q3 2024 from the purchase and disposition of marketable securities to fund the Argentina expansion activities, compared to $11.2 million of net proceeds for the same period in 2023, as described in Note 23c - </w:t>
      </w:r>
      <w:r>
        <w:rPr>
          <w:rFonts w:ascii="Times New Roman" w:cs="Times New Roman" w:eastAsia="Times New Roman" w:hAnsi="Times New Roman"/>
          <w:sz w:val="18"/>
          <w:szCs w:val="18"/>
          <w:i w:val="1"/>
          <w:iCs w:val="1"/>
          <w:color w:val="auto"/>
        </w:rPr>
        <w:t>Additional Details to the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Profit or Loss and Comprehensive Profit or Loss </w:t>
      </w:r>
      <w:r>
        <w:rPr>
          <w:rFonts w:ascii="Times New Roman" w:cs="Times New Roman" w:eastAsia="Times New Roman" w:hAnsi="Times New Roman"/>
          <w:sz w:val="18"/>
          <w:szCs w:val="18"/>
          <w:color w:val="auto"/>
        </w:rPr>
        <w:t>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38  Page</w:t>
      </w:r>
    </w:p>
    <w:p>
      <w:pPr>
        <w:sectPr>
          <w:pgSz w:w="11900" w:h="16838" w:orient="portrait"/>
          <w:cols w:equalWidth="0" w:num="1">
            <w:col w:w="11240"/>
          </w:cols>
          <w:pgMar w:left="320" w:top="90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increased by $202.4 million from $41.3 million for YTD Q3 2023 to $243.7 million for YTD Q3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YTD </w:t>
      </w:r>
      <w:r>
        <w:rPr>
          <w:rFonts w:ascii="Times New Roman" w:cs="Times New Roman" w:eastAsia="Times New Roman" w:hAnsi="Times New Roman"/>
          <w:sz w:val="18"/>
          <w:szCs w:val="18"/>
          <w:i w:val="1"/>
          <w:iCs w:val="1"/>
          <w:color w:val="auto"/>
        </w:rPr>
        <w:t>Q3 2024</w:t>
      </w:r>
    </w:p>
    <w:p>
      <w:pPr>
        <w:spacing w:after="0" w:line="29"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$240.3 million of net proceeds from its 2024 ATM Program as discussed below, partially offset by $0.9 million of capitalized professional fees and registration expenses to initiate the 2024 ATM Program;</w:t>
      </w:r>
    </w:p>
    <w:p>
      <w:pPr>
        <w:ind w:left="1300" w:hanging="320"/>
        <w:spacing w:after="0"/>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million of net proceeds from the exercise of stock options and warrants;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from the sale and leaseback of its Garlock (Quebec) data center.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raised were partially offset by scheduled payments primarily relating to: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$4.0 million to fully repay the NYDIG loan, which matured and expired in February 2024;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 of approximately $2.0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YTD </w:t>
      </w:r>
      <w:r>
        <w:rPr>
          <w:rFonts w:ascii="Times New Roman" w:cs="Times New Roman" w:eastAsia="Times New Roman" w:hAnsi="Times New Roman"/>
          <w:sz w:val="18"/>
          <w:szCs w:val="18"/>
          <w:i w:val="1"/>
          <w:iCs w:val="1"/>
          <w:color w:val="auto"/>
        </w:rPr>
        <w:t>Q3 2023</w:t>
      </w:r>
    </w:p>
    <w:p>
      <w:pPr>
        <w:spacing w:after="0" w:line="29" w:lineRule="exact"/>
        <w:rPr>
          <w:sz w:val="20"/>
          <w:szCs w:val="20"/>
          <w:color w:val="auto"/>
        </w:rPr>
      </w:pPr>
    </w:p>
    <w:p>
      <w:pPr>
        <w:jc w:val="both"/>
        <w:ind w:left="660" w:hanging="328"/>
        <w:spacing w:after="0" w:line="250" w:lineRule="auto"/>
        <w:tabs>
          <w:tab w:leader="none" w:pos="660" w:val="left"/>
        </w:tabs>
        <w:numPr>
          <w:ilvl w:val="0"/>
          <w:numId w:val="1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raised $68.5 million of net proceeds from an at-the-market equity offering program, initiated on August 16, 2021 and expired on September 12, 2023 (“2021 ATM program”), which was partially offset by repayments towards the long-term debt and lease liabilities of $24.6 million and $2.9 million, respectively.</w:t>
      </w:r>
    </w:p>
    <w:p>
      <w:pPr>
        <w:spacing w:after="0" w:line="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debt repayments included:</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remaining $20.4 million principal balance of the BlockFi Loan on February 8, 2023 for cash consideration of $7.8 million, as discussed below;</w:t>
      </w:r>
    </w:p>
    <w:p>
      <w:pPr>
        <w:ind w:left="1300" w:hanging="320"/>
        <w:spacing w:after="0"/>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$16.4 million towards the NYDIG loan; and</w:t>
      </w:r>
    </w:p>
    <w:p>
      <w:pPr>
        <w:spacing w:after="0" w:line="9" w:lineRule="exact"/>
        <w:rPr>
          <w:rFonts w:ascii="Times New Roman" w:cs="Times New Roman" w:eastAsia="Times New Roman" w:hAnsi="Times New Roman"/>
          <w:sz w:val="18"/>
          <w:szCs w:val="18"/>
          <w:color w:val="auto"/>
        </w:rPr>
      </w:pPr>
    </w:p>
    <w:p>
      <w:pPr>
        <w:ind w:left="1300" w:right="20" w:hanging="320"/>
        <w:spacing w:after="0" w:line="260"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repayment of the principal amount of the remaining equipment financing (the “Foundry Loans”) before maturity and without prepayment penalty for $0.8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BlockFi Loan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18, 2022, Bitfarms’ subsidiary, Backbone Mining Solutions Inc. (“Backbone Mining”), entered into a $32.0 million equipment financing facility with BlockFi. On February 8, 2023, BlockFi and the Company negotiated a settlement of the loan in its entirety for cash consideration of $7.8 million, discharging Backbone Mining of all further obligations and resulting in a gain on extinguishment of long-term debt of $12.6 million. Upon settlement, all of Backbone Mining’s assets, including 6,100 Miners collateralizing the loan, became unencumbered.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Bitfarms commenced the 2024 ATM Program on March 11, 2024, by means of a prospectus supplement dated March 8, 2024 (“March Supplement”), to the Company’s short form base shelf prospectus dated November 10, 2023 (“Base Shelf”), and U.S. registration statement on Form F-10, which included a prospectus supplement related to the 2024 ATM Program. The Company may, at its discretion and from time-to-time, sell common shares of the Company in the 2024 ATM Program as for aggregate gross proceeds of up to $375.0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39  Page</w:t>
      </w:r>
    </w:p>
    <w:p>
      <w:pPr>
        <w:sectPr>
          <w:pgSz w:w="11900" w:h="16838" w:orient="portrait"/>
          <w:cols w:equalWidth="0" w:num="1">
            <w:col w:w="11240"/>
          </w:cols>
          <w:pgMar w:left="320" w:top="90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At-The-Market Equity Offering Program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filed an amended and restated prospectus supplement dated October 4, 2024, providing disclosure regarding the Stronghold Transaction and amending and restating the March Supplement, to the Company’s existing $375.0 million Base Shelf, with both the Base Shelf and amended and restated prospectus supplement forming a part of the Company’s registration statement on Form F-10.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2024 v. Q3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issued 25,127,177 common shares through the 2024 ATM Program in exchange for gross proceeds of $67.9 million at an average share price of approximately $2.70. The Company received net proceeds of $65.8 million after paying commissions of $2.0 million to the sales agent, in addition to $0.1 million of other transaction fees.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2023, the Company issued 18,569,537 common shares through the 2021 ATM program in exchange for gross proceeds of $31.9 million at an average share price of approximately $1.72. The Company received net proceeds of $30.9 million after paying commissions of $1.0 million to the sales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YTD Q3 2024, the Company issued 109,323,321 common shares in the 2024 ATM Program in exchange for gross proceeds of $248.1 million at an average share price of approximately $2.27. The Company received net proceeds of $240.3 million after paying commissions of $7.4 million to the sales agent in addition to $0.4 million of other transaction fees. The Company capitalized $0.9 million of professional fees and registration expenses to initiate the 2024 ATM Program.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YTD Q3 2023, the Company issued 52,120,899 common shares in the 2021 ATM program in exchange for gross proceeds of $70.8 million at an average share price of approximately $1.36. The Company received net proceeds of $68.5 million after paying commissions of $2.2 million to the sales agent, in addition to $0.1 million of other transaction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used and intends to continue to use the proceeds from the 2024 ATM Program prudently to support the growth and development of the Company’s Mining operations, as described in Section 6 -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well as for working capital and general corporate purposes. The Company used the $240.3 million raised from the 2024 ATM Program from March 11, 2024 through September 30, 2024 to fund the transformative fleet upgrade.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2024 v. YTD Q3 2023</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5,000,000 warrants and 111,111 broker warrants related to the 2023 private placement were exercised, resulting in the issuance of 5,111,111 common shares for proceeds of approximately $6.0 million. During the nine months ended September 30, 2023, no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803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40  Page</w:t>
      </w:r>
    </w:p>
    <w:p>
      <w:pPr>
        <w:sectPr>
          <w:pgSz w:w="11900" w:h="16838" w:orient="portrait"/>
          <w:cols w:equalWidth="0" w:num="1">
            <w:col w:w="11240"/>
          </w:cols>
          <w:pgMar w:left="320" w:top="90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capital management objective is to provide financial resources that will enable the Company to maximize the return to its shareholders while optimizing its cost of capital and ensuring the Company has sufficient liquidity to fund its operating activities. In order to achieve this objective, the Company monitors its capital structure and makes adjustments as required in light of the Company’s funding requirements, changes in economic conditions, the cost of providing financing, and the risks to which the Company is exposed. The Company’s financing strategy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current capital budget and BTC prices, the Company currently anticipates that additional financing will be required to fund its 2025 expansion plans and to complete construction of additional data centers, if the Company elects to do so. In order to achieve its business objectives, the Company may sell or borrow against the BTC that are held in treasury as of the date hereof as well as BTC received from its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BTC Halving event is scheduled to occur once every 210,000 blocks, or roughly every four years, until the total amount of BTC rewards issued reaches 21 million, which is expected to occur around 2140. The most recent BTC Halving event occurred on April 19, 2024, at which time BTC block rewards decreased from 6.25 BTC per block to 3.125 BTC per block. Once 21 million BTC are generated,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Pools. Similar to past BTC Halvings events, the BTC price did not have an immediate favorable impact after the BTC Halving that occurred on April 19, 2024. It took approximately six months for the Company’s revenue per terahash to return to the level experienced prior to the May 2020 BTC Halving event. Since the BTC halving on April 19, 2024, revenue per terahash has not yet returned to pre-halving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41  Page</w:t>
      </w:r>
    </w:p>
    <w:p>
      <w:pPr>
        <w:sectPr>
          <w:pgSz w:w="11900" w:h="16838" w:orient="portrait"/>
          <w:cols w:equalWidth="0" w:num="1">
            <w:col w:w="11240"/>
          </w:cols>
          <w:pgMar w:left="320" w:top="90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early January 2021, the Company implemented a digital asset management program under which it holds BTC for its intrinsic value and as a source of liquidity. The Company has internal controls over the management of its digital assets, which it evaluates and, as appropriate, enhances on a quarterly basis. On August 1, 2022, Management received approval from the Board to sell daily production, in addition to any sale of up to 1,000 BTC from treasury, should market conditions and the Company’s projected financing requirements justify such sales in Management’s discretion.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Presented below are the total BTC sold and proceeds in YTD Q3 2024, a portion of which was used to fully repay equipment-related indebtedness, with the remaining portion used to fund operations and expansion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3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1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Quantity of BTC sold</w:t>
            </w:r>
          </w:p>
        </w:tc>
        <w:tc>
          <w:tcPr>
            <w:tcW w:w="3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23"/>
        </w:trPr>
        <w:tc>
          <w:tcPr>
            <w:tcW w:w="4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proceeds</w:t>
            </w:r>
          </w:p>
        </w:tc>
        <w:tc>
          <w:tcPr>
            <w:tcW w:w="3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27,938</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33,756</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 of BTC as described above, while the Company continued to earn BTC, resulted in total holdings of 1,147 BTC as of September 30, 2024, valued at approximately $72.6 million based on a BTC price of approximately $63,300, as of September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BTC received from the Mining Pool for its computational power used for hashing calculations is delivered to multi-signature wallets that the Company controls or directs to external third-party custodians. On a regular basis, the Company transfers BTC from its multi-signature wallets to external third-party custodians, Coinbase Custody Trust Company, LLC (“Coinbase Custody”), a subsidiary of Coinbase Global, Inc. (“Coinbase”) and Anchorage Digital Bank National Association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internal controls in place to evaluate its custodians on a quarterly basis. If the Company was to face challenges with one of its custodians, the Company could transfer digital assets between custodians and has its own multi-signature wallets as a contingency plan that would have a minimal impact on the Company’s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12, 2024, the Company has 1,205 BTC, valued at $107.2 million on its balance sheet. As of the date of this MD&amp;A, 100% of the Company’s BTC are held in custody with Coinbase Custody and Anchorage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42  Page</w:t>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Custody of digital assets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or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October 30, 2024,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program of digital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hedging strategy aims to reduce the risk associated with the variability of cash flows resulting from future disposals of digital assets and in consideration of the volatility and adverse price movements of the digital assets in the prior months. In March 2023, the Board approved a hedging program and authorized Management, through a risk management committee specifically created for this purpose, to implement hedges using various financial derivatives including over-the-counter BTC option and BTC future contracts, among others, hedging up to 20% of the Company’s BTC compensation per month and up to three months of expected future BTC compensation. In April 2023, the Board authorized the risk management committee to increase the maximum hedge ratio to up to 50% of the Company’s BTC compensation per month and up to six months of expected future BTC compensation. As of November 12, 2024, the Company has a hedge in place of 75 BTC of expected future BTC compensation.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had BTC option contracts to sell digital assets which resulted in losses of $0.4 million and $1.3 million, respectively, mainly related to premiums for the option contracts hedging the risk of the BTC price decreasing and protecting the Company’s margins. Refer to Note 19 to the Financial Statements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0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43  Page</w:t>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Synthetic HODL program for digital assets management</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Alongside the hedging program, and with the intent to source risk-managed and capital-efficient leverage on BTC, in June 2023, the Board approved a HODL strategy, referred to as the Synthetic HODL strategy, which allows up to 20% of the Company’s BTC exposure to be replicated using BTC derivatives and volatility-targeting instruments. In October 2023, the Company initiated its Synthetic HODL strategy with the purchase of long-dated BTC call options. The primary objective of the Synthetic HODL is to replicate BTC HODL appreciation potential upside while utilizing excess cash flow from operations to fund capital growth programs. As of November 12, 2024, the Company has active call option contracts providing the right to buy up to 634 BTC. It remains within the risk management committee’s discretion to dynamically adjust Bitfarms’ hedge and Synthetic HODL ratios within the risk limits approved by the Board to more adequately respond to market conditions that are beyond the Company’s operational control. During the three and nine months ended September 30, 2024, the Company purchased long-dated BTC call options which resulted in gains of $0.3 million and $1.6 million, respectively, attributable to the change in the BTC price over the respective periods.</w:t>
      </w:r>
    </w:p>
    <w:p>
      <w:pPr>
        <w:spacing w:after="0" w:line="189"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contractual maturities of financial liabilities and gross lease liabilities (non-financial liabilities) with estimated future interest payments, as applicable, as of September 30,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2028 and</w:t>
            </w: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2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Trade accounts payable and accrued</w:t>
            </w:r>
          </w:p>
        </w:tc>
        <w:tc>
          <w:tcPr>
            <w:tcW w:w="164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31,690</w:t>
            </w:r>
          </w:p>
        </w:tc>
        <w:tc>
          <w:tcPr>
            <w:tcW w:w="138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31,690</w:t>
            </w:r>
          </w:p>
        </w:tc>
        <w:tc>
          <w:tcPr>
            <w:tcW w:w="0" w:type="dxa"/>
            <w:vAlign w:val="bottom"/>
          </w:tcPr>
          <w:p>
            <w:pPr>
              <w:spacing w:after="0"/>
              <w:rPr>
                <w:sz w:val="1"/>
                <w:szCs w:val="1"/>
                <w:color w:val="auto"/>
              </w:rPr>
            </w:pPr>
          </w:p>
        </w:tc>
      </w:tr>
      <w:tr>
        <w:trPr>
          <w:trHeight w:val="234"/>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4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56</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172</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171</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176</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1,165</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1,740</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734</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3,439</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4,228</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4,340</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19,220</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31,961</w:t>
            </w: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32,480</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3,611</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4,399</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4,516</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20,385</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65,391</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Company’s total remaining payment obligations in connection with the Purchase Option and the March 2024 Purchase Order was $31.9 million and was fully paid in October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in Section 6 - Expansion Projects, the Company amended the Purchase Option and the March 2024 Purchase Order on November 12, 2024 and has payment obligations of $33.2 million which is due during the fourth quarter of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is unable to meet its payment obligations, it could result in the loss of equipment prepayments and deposits paid by the Company under the Purchase Order and remedial legal measures against the Company. This may result in damages payable by the Company and forced continuance of the contractual arrangement. Under such circumstances, the Company’s growth plans and ongoing operations could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44  Page</w:t>
      </w:r>
    </w:p>
    <w:p>
      <w:pPr>
        <w:sectPr>
          <w:pgSz w:w="11900" w:h="16838" w:orient="portrait"/>
          <w:cols w:equalWidth="0" w:num="1">
            <w:col w:w="11240"/>
          </w:cols>
          <w:pgMar w:left="320" w:top="90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the Company imported Miners into Washington State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 Since the request for information by U.S. Customs and Border Protection, the Company has been working with the vendor to validate their origination outside of China by visiting contract manufacturer sites and by examining and documenting the manufacture and assembly of the Miners by the vendor and its third-party contractors.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submitted supporting documentation to U.S. Customs and Border Protection in defense of its position that the Miners were manufactured outside China and the associated custom duties in the amount of $9.4 million do not apply. While the final outcome of this matter is uncertain at this time, Management has determined it is not probable that it will result in a future cash outflow for the Company and, as such, no provision was recorded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45  Page</w:t>
      </w:r>
    </w:p>
    <w:p>
      <w:pPr>
        <w:sectPr>
          <w:pgSz w:w="11900" w:h="16838" w:orient="portrait"/>
          <w:cols w:equalWidth="0" w:num="1">
            <w:col w:w="11240"/>
          </w:cols>
          <w:pgMar w:left="320" w:top="90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POSITION</w:t>
      </w:r>
    </w:p>
    <w:p>
      <w:pPr>
        <w:spacing w:after="0" w:line="225"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Working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As of</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9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c>
          <w:tcPr>
            <w:tcW w:w="1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50"/>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3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80" w:type="dxa"/>
            <w:vAlign w:val="bottom"/>
            <w:tcBorders>
              <w:bottom w:val="single" w:sz="8" w:color="auto"/>
            </w:tcBorders>
          </w:tcPr>
          <w:p>
            <w:pPr>
              <w:jc w:val="right"/>
              <w:ind w:right="23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189,047</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129,984</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59,063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51,092</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69,154</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(18,062)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7"/>
        </w:trPr>
        <w:tc>
          <w:tcPr>
            <w:tcW w:w="3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3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137,955</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60,830</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77,125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 the BTC Halving event that occurred on April 19, 2024, the Company continues to place importance on maintaining sufficient liquidity to manage uncertainty and capitalize upon suitable opportunities the BTC Halving may present. The Company also anticipates requiring additional funds to complete its 2025 growth plans discussed in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of September 30, 2024, Bitfarms had working capital of $138.0 million, compared to $60.8 million as of December 31, 2023. The increase in working capital was mostly due to:</w:t>
      </w:r>
    </w:p>
    <w:p>
      <w:pPr>
        <w:spacing w:after="0" w:line="180" w:lineRule="exact"/>
        <w:rPr>
          <w:sz w:val="20"/>
          <w:szCs w:val="20"/>
          <w:color w:val="auto"/>
        </w:rPr>
      </w:pPr>
    </w:p>
    <w:p>
      <w:pPr>
        <w:ind w:left="340" w:hanging="332"/>
        <w:spacing w:after="0" w:line="261"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$38.7 million increase in total digital assets resulting from the increase of the Company’s treasury by 343 BTC and the appreciation of the BTC price during YTD Q3 2024.</w:t>
      </w:r>
    </w:p>
    <w:p>
      <w:pPr>
        <w:ind w:left="340" w:hanging="332"/>
        <w:spacing w:after="0" w:line="250"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$26.1 million decrease in warrant liabilities due to the subsequent decrease in fair value revaluation of the warrants from the 2023 private placements, the exercise of 2023 private placements warrants and the expiration of all 2021 private placement warrants.</w:t>
      </w:r>
    </w:p>
    <w:p>
      <w:pPr>
        <w:ind w:left="340" w:right="20" w:hanging="332"/>
        <w:spacing w:after="0" w:line="250"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$9.9 million increase in other assets resulting from the increase in sales taxes receivable on the Company’s initial capital costs for its expansions in Paraguay</w:t>
      </w:r>
      <w:r>
        <w:rPr>
          <w:rFonts w:ascii="Times New Roman" w:cs="Times New Roman" w:eastAsia="Times New Roman" w:hAnsi="Times New Roman"/>
          <w:sz w:val="18"/>
          <w:szCs w:val="18"/>
          <w:i w:val="1"/>
          <w:iCs w:val="1"/>
          <w:color w:val="auto"/>
        </w:rPr>
        <w:t>.</w:t>
      </w:r>
    </w:p>
    <w:p>
      <w:pPr>
        <w:ind w:left="340" w:hanging="332"/>
        <w:spacing w:after="0" w:line="250"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$9.5 million increase in short-term prepaid deposits mainly related to the prepayment of electricity to an energy supplier in Argentina during YTD Q3 2024.</w:t>
      </w:r>
    </w:p>
    <w:p>
      <w:pPr>
        <w:ind w:left="340" w:hanging="332"/>
        <w:spacing w:after="0" w:line="260"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capital repayments of $4.0 million to fully pay off the NYDIG loan in the first quarter of 2024. The effect on working capital is nil as the repayments decreased the cash balance and the loan balance by corresponding amounts.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partially offset by:</w:t>
      </w:r>
    </w:p>
    <w:p>
      <w:pPr>
        <w:spacing w:after="0" w:line="27" w:lineRule="exact"/>
        <w:rPr>
          <w:sz w:val="20"/>
          <w:szCs w:val="20"/>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$11.1 million decrease in cash as explained by the cash flows. Refer to Section 10A - </w:t>
      </w:r>
      <w:r>
        <w:rPr>
          <w:rFonts w:ascii="Times New Roman" w:cs="Times New Roman" w:eastAsia="Times New Roman" w:hAnsi="Times New Roman"/>
          <w:sz w:val="18"/>
          <w:szCs w:val="18"/>
          <w:i w:val="1"/>
          <w:iCs w:val="1"/>
          <w:color w:val="auto"/>
        </w:rPr>
        <w:t>Liquidity and Capital Resources - Cash flows</w:t>
      </w:r>
      <w:r>
        <w:rPr>
          <w:rFonts w:ascii="Times New Roman" w:cs="Times New Roman" w:eastAsia="Times New Roman" w:hAnsi="Times New Roman"/>
          <w:sz w:val="18"/>
          <w:szCs w:val="18"/>
          <w:color w:val="auto"/>
        </w:rPr>
        <w:t xml:space="preserve"> of this MD&amp;A.</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$13.6 million increase in trade payables and accrued liabilities, reflecting the ongoing expansion projects of the Company, professional services relating to the Stronghold Transaction and Strategic Alternatives Review Process and increase in derivative asset positions that are settled for cash on or before contract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8308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year figures are derived from restated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46  Page</w:t>
      </w:r>
    </w:p>
    <w:p>
      <w:pPr>
        <w:sectPr>
          <w:pgSz w:w="11900" w:h="16838" w:orient="portrait"/>
          <w:cols w:equalWidth="0" w:num="1">
            <w:col w:w="11240"/>
          </w:cols>
          <w:pgMar w:left="320" w:top="90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FINANCIAL POSITION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book value of PPE by country is as follows:</w:t>
            </w:r>
          </w:p>
        </w:tc>
        <w:tc>
          <w:tcPr>
            <w:tcW w:w="2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As of</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36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c>
          <w:tcPr>
            <w:tcW w:w="1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2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105,250</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101,454</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3,796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2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13,675</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18,154</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(4,479)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20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118,925</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119,608</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(683)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Paraguay</w:t>
            </w:r>
          </w:p>
        </w:tc>
        <w:tc>
          <w:tcPr>
            <w:tcW w:w="2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85,354</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11,747</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73,607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0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2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42,235</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54,657</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(12,422)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200" w:type="dxa"/>
            <w:vAlign w:val="bottom"/>
            <w:tcBorders>
              <w:bottom w:val="single" w:sz="8" w:color="auto"/>
            </w:tcBorders>
            <w:shd w:val="clear" w:color="auto" w:fill="CCEEFF"/>
          </w:tcPr>
          <w:p>
            <w:pPr>
              <w:spacing w:after="0"/>
              <w:rPr>
                <w:sz w:val="18"/>
                <w:szCs w:val="18"/>
                <w:color w:val="auto"/>
              </w:rPr>
            </w:pPr>
          </w:p>
        </w:tc>
        <w:tc>
          <w:tcPr>
            <w:tcW w:w="466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127,589</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66,404</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61,185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7"/>
        </w:trPr>
        <w:tc>
          <w:tcPr>
            <w:tcW w:w="20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246,514</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186,012</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60,502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Bitfarms had PPE of $246.5 million, compared to $186.0 million as of December 31, 2023. The increase of $60.5 million, or 33%, was primarily due to:</w:t>
      </w:r>
    </w:p>
    <w:p>
      <w:pPr>
        <w:jc w:val="both"/>
        <w:ind w:left="660" w:hanging="328"/>
        <w:spacing w:after="0" w:line="250"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$73.6 million increase in Paraguay PPE primarily due to the construction of the Paso Pe data centers and substation, receipt of approximately 8 hydro containers, the installation of 600 MicroBT WhatsMiner M53S and 9,500 Bitmain T21 Miners as well as the ongoing construction of the Yguazu data center and substation during YTD Q3 2024.</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$3.8 million increase in Canada PPE mainly due to the Miner fleet upgrade, which exceeded the regular depreciation expense and the accelerated depreciation of older Miners.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partially offset by:</w:t>
      </w:r>
    </w:p>
    <w:p>
      <w:pPr>
        <w:spacing w:after="0" w:line="27" w:lineRule="exact"/>
        <w:rPr>
          <w:sz w:val="20"/>
          <w:szCs w:val="20"/>
          <w:color w:val="auto"/>
        </w:rPr>
      </w:pPr>
    </w:p>
    <w:p>
      <w:pPr>
        <w:jc w:val="both"/>
        <w:ind w:left="660" w:hanging="328"/>
        <w:spacing w:after="0" w:line="255"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decrease of PPE in Argentina and the US by $12.4 million and $4.5 million, respectively, mostly due to regular depreciation expense and the accelerated depreciation of older Miners, which exceeded the value of the Miners received in connection with the transformative fleet upgrade program. Refer to Note 10 -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47  Page</w:t>
      </w:r>
    </w:p>
    <w:p>
      <w:pPr>
        <w:sectPr>
          <w:pgSz w:w="11900" w:h="16838" w:orient="portrait"/>
          <w:cols w:equalWidth="0" w:num="1">
            <w:col w:w="11240"/>
          </w:cols>
          <w:pgMar w:left="320" w:top="90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FINANCIAL POSITION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(“ROU”)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Bitfarms had ROU assets of $24.0 million, compared to $14.3 million as of December 31, 2023. The increase of $9.6 million, or 67%, was mainly due to the Sharon Lease Agreement finalized during Q3 2024 to lease an industrialized site in Sharon, Pennsylvania, providing the Company immediate capacity of 12 MW of electricity and a potential additional 98 MW for a total 110 MW of development capacity by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Upon signing the agreement, the Company issued 1,532,745 common shares with a total value of $3.0 million as a non-refundable deposit which was capitalized as part of the ROU asset. On initial recognition, the Company recognized $11.4 million of ROU asset and $8.2 million of lease liability with the difference of $3.0 million recorded in share capital. Refer to Note 16 -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18 - </w:t>
      </w:r>
      <w:r>
        <w:rPr>
          <w:rFonts w:ascii="Times New Roman" w:cs="Times New Roman" w:eastAsia="Times New Roman" w:hAnsi="Times New Roman"/>
          <w:sz w:val="18"/>
          <w:szCs w:val="18"/>
          <w:i w:val="1"/>
          <w:iCs w:val="1"/>
          <w:color w:val="auto"/>
        </w:rPr>
        <w:t>Share Capital</w:t>
      </w:r>
      <w:r>
        <w:rPr>
          <w:rFonts w:ascii="Times New Roman" w:cs="Times New Roman" w:eastAsia="Times New Roman" w:hAnsi="Times New Roman"/>
          <w:sz w:val="18"/>
          <w:szCs w:val="18"/>
          <w:color w:val="auto"/>
        </w:rPr>
        <w:t xml:space="preserve"> to the Financial Statements for more details.</w:t>
      </w:r>
    </w:p>
    <w:p>
      <w:pPr>
        <w:spacing w:after="0" w:line="172"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Bitfarms had intangible assets of $4.2 million, compared to $3.7 million as of December 31, 2023. The $0.5 million increase is mainly due to the Washington State access right to electricity being available for use and reclassified from long-term deposits, equipment, prepayments and other to intangible assets. The increase was partially offset by the amortization of the Company’s access rights to electricity in Washington State and access rights to electricity already held in Quebec and Paraguay since 2023. The following table summarizes those access rights to electricity, at cost: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w:t>
            </w:r>
          </w:p>
        </w:tc>
        <w:tc>
          <w:tcPr>
            <w:tcW w:w="1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33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33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Term of contractual access rights</w:t>
            </w:r>
          </w:p>
        </w:tc>
        <w:tc>
          <w:tcPr>
            <w:tcW w:w="2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r>
      <w:tr>
        <w:trPr>
          <w:trHeight w:val="191"/>
        </w:trPr>
        <w:tc>
          <w:tcPr>
            <w:tcW w:w="720" w:type="dxa"/>
            <w:vAlign w:val="bottom"/>
            <w:shd w:val="clear" w:color="auto" w:fill="CCEEFF"/>
          </w:tcPr>
          <w:p>
            <w:pPr>
              <w:spacing w:after="0"/>
              <w:rPr>
                <w:sz w:val="16"/>
                <w:szCs w:val="16"/>
                <w:color w:val="auto"/>
              </w:rPr>
            </w:pPr>
          </w:p>
        </w:tc>
        <w:tc>
          <w:tcPr>
            <w:tcW w:w="206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Washington State,</w:t>
            </w:r>
          </w:p>
        </w:tc>
        <w:tc>
          <w:tcPr>
            <w:tcW w:w="10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360" w:type="dxa"/>
            <w:vAlign w:val="bottom"/>
            <w:shd w:val="clear" w:color="auto" w:fill="CCEEFF"/>
          </w:tcPr>
          <w:p>
            <w:pPr>
              <w:ind w:left="760"/>
              <w:spacing w:after="0" w:line="191" w:lineRule="exact"/>
              <w:rPr>
                <w:sz w:val="20"/>
                <w:szCs w:val="20"/>
                <w:color w:val="auto"/>
              </w:rPr>
            </w:pPr>
            <w:r>
              <w:rPr>
                <w:rFonts w:ascii="Times New Roman" w:cs="Times New Roman" w:eastAsia="Times New Roman" w:hAnsi="Times New Roman"/>
                <w:sz w:val="18"/>
                <w:szCs w:val="18"/>
                <w:color w:val="auto"/>
              </w:rPr>
              <w:t>No termination date</w:t>
            </w:r>
          </w:p>
        </w:tc>
        <w:tc>
          <w:tcPr>
            <w:tcW w:w="266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Declining balance 4%</w:t>
            </w:r>
          </w:p>
        </w:tc>
      </w:tr>
      <w:tr>
        <w:trPr>
          <w:trHeight w:val="234"/>
        </w:trPr>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USA</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w:t>
            </w:r>
          </w:p>
        </w:tc>
        <w:tc>
          <w:tcPr>
            <w:tcW w:w="13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 MW</w:t>
            </w:r>
          </w:p>
        </w:tc>
        <w:tc>
          <w:tcPr>
            <w:tcW w:w="3360" w:type="dxa"/>
            <w:vAlign w:val="bottom"/>
            <w:tcBorders>
              <w:bottom w:val="single" w:sz="8" w:color="auto"/>
            </w:tcBorders>
            <w:shd w:val="clear" w:color="auto" w:fill="CCEEFF"/>
          </w:tcPr>
          <w:p>
            <w:pPr>
              <w:spacing w:after="0"/>
              <w:rPr>
                <w:sz w:val="20"/>
                <w:szCs w:val="20"/>
                <w:color w:val="auto"/>
              </w:rPr>
            </w:pPr>
          </w:p>
        </w:tc>
        <w:tc>
          <w:tcPr>
            <w:tcW w:w="2660" w:type="dxa"/>
            <w:vAlign w:val="bottom"/>
            <w:tcBorders>
              <w:bottom w:val="single" w:sz="8" w:color="auto"/>
            </w:tcBorders>
            <w:shd w:val="clear" w:color="auto" w:fill="CCEEFF"/>
          </w:tcPr>
          <w:p>
            <w:pPr>
              <w:spacing w:after="0"/>
              <w:rPr>
                <w:sz w:val="20"/>
                <w:szCs w:val="20"/>
                <w:color w:val="auto"/>
              </w:rPr>
            </w:pPr>
          </w:p>
        </w:tc>
      </w:tr>
      <w:tr>
        <w:trPr>
          <w:trHeight w:val="210"/>
        </w:trPr>
        <w:tc>
          <w:tcPr>
            <w:tcW w:w="7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912</w:t>
            </w: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 MW</w:t>
            </w:r>
          </w:p>
        </w:tc>
        <w:tc>
          <w:tcPr>
            <w:tcW w:w="33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r>
      <w:tr>
        <w:trPr>
          <w:trHeight w:val="191"/>
        </w:trPr>
        <w:tc>
          <w:tcPr>
            <w:tcW w:w="7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2023</w:t>
            </w:r>
          </w:p>
        </w:tc>
        <w:tc>
          <w:tcPr>
            <w:tcW w:w="206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Baie-Comeau, Quebec</w:t>
            </w:r>
          </w:p>
        </w:tc>
        <w:tc>
          <w:tcPr>
            <w:tcW w:w="10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360" w:type="dxa"/>
            <w:vAlign w:val="bottom"/>
            <w:shd w:val="clear" w:color="auto" w:fill="CCEEFF"/>
          </w:tcPr>
          <w:p>
            <w:pPr>
              <w:ind w:left="760"/>
              <w:spacing w:after="0" w:line="191" w:lineRule="exact"/>
              <w:rPr>
                <w:sz w:val="20"/>
                <w:szCs w:val="20"/>
                <w:color w:val="auto"/>
              </w:rPr>
            </w:pPr>
            <w:r>
              <w:rPr>
                <w:rFonts w:ascii="Times New Roman" w:cs="Times New Roman" w:eastAsia="Times New Roman" w:hAnsi="Times New Roman"/>
                <w:sz w:val="18"/>
                <w:szCs w:val="18"/>
                <w:color w:val="auto"/>
              </w:rPr>
              <w:t>No termination date</w:t>
            </w:r>
          </w:p>
        </w:tc>
        <w:tc>
          <w:tcPr>
            <w:tcW w:w="266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Straight-line over the lease term of</w:t>
            </w:r>
          </w:p>
        </w:tc>
      </w:tr>
      <w:tr>
        <w:trPr>
          <w:trHeight w:val="234"/>
        </w:trPr>
        <w:tc>
          <w:tcPr>
            <w:tcW w:w="7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2,315</w:t>
            </w: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22 MW</w:t>
            </w:r>
          </w:p>
        </w:tc>
        <w:tc>
          <w:tcPr>
            <w:tcW w:w="3360" w:type="dxa"/>
            <w:vAlign w:val="bottom"/>
            <w:shd w:val="clear" w:color="auto" w:fill="CCEEFF"/>
          </w:tcPr>
          <w:p>
            <w:pPr>
              <w:spacing w:after="0"/>
              <w:rPr>
                <w:sz w:val="20"/>
                <w:szCs w:val="20"/>
                <w:color w:val="auto"/>
              </w:rPr>
            </w:pPr>
          </w:p>
        </w:tc>
        <w:tc>
          <w:tcPr>
            <w:tcW w:w="2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data center</w:t>
            </w:r>
          </w:p>
        </w:tc>
      </w:tr>
      <w:tr>
        <w:trPr>
          <w:trHeight w:val="198"/>
        </w:trPr>
        <w:tc>
          <w:tcPr>
            <w:tcW w:w="72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Paso Pe, Paraguay</w:t>
            </w: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360" w:type="dxa"/>
            <w:vAlign w:val="bottom"/>
          </w:tcPr>
          <w:p>
            <w:pPr>
              <w:ind w:left="760"/>
              <w:spacing w:after="0" w:line="198" w:lineRule="exact"/>
              <w:rPr>
                <w:sz w:val="20"/>
                <w:szCs w:val="20"/>
                <w:color w:val="auto"/>
              </w:rPr>
            </w:pPr>
            <w:r>
              <w:rPr>
                <w:rFonts w:ascii="Times New Roman" w:cs="Times New Roman" w:eastAsia="Times New Roman" w:hAnsi="Times New Roman"/>
                <w:sz w:val="18"/>
                <w:szCs w:val="18"/>
                <w:color w:val="auto"/>
              </w:rPr>
              <w:t>Ending in December 31, 2027</w:t>
            </w:r>
          </w:p>
        </w:tc>
        <w:tc>
          <w:tcPr>
            <w:tcW w:w="26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Straight-line over the access rights</w:t>
            </w:r>
          </w:p>
        </w:tc>
      </w:tr>
      <w:tr>
        <w:trPr>
          <w:trHeight w:val="234"/>
        </w:trPr>
        <w:tc>
          <w:tcPr>
            <w:tcW w:w="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1,065</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 MW</w:t>
            </w:r>
          </w:p>
        </w:tc>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period</w:t>
            </w:r>
          </w:p>
        </w:tc>
      </w:tr>
      <w:tr>
        <w:trPr>
          <w:trHeight w:val="198"/>
        </w:trPr>
        <w:tc>
          <w:tcPr>
            <w:tcW w:w="720" w:type="dxa"/>
            <w:vAlign w:val="bottom"/>
            <w:shd w:val="clear" w:color="auto" w:fill="CCEEFF"/>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0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Yguazu, Paraguay</w:t>
            </w:r>
          </w:p>
        </w:tc>
        <w:tc>
          <w:tcPr>
            <w:tcW w:w="1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360" w:type="dxa"/>
            <w:vAlign w:val="bottom"/>
            <w:shd w:val="clear" w:color="auto" w:fill="CCEEFF"/>
          </w:tcPr>
          <w:p>
            <w:pPr>
              <w:ind w:left="760"/>
              <w:spacing w:after="0" w:line="198" w:lineRule="exact"/>
              <w:rPr>
                <w:sz w:val="20"/>
                <w:szCs w:val="20"/>
                <w:color w:val="auto"/>
              </w:rPr>
            </w:pPr>
            <w:r>
              <w:rPr>
                <w:rFonts w:ascii="Times New Roman" w:cs="Times New Roman" w:eastAsia="Times New Roman" w:hAnsi="Times New Roman"/>
                <w:sz w:val="18"/>
                <w:szCs w:val="18"/>
                <w:color w:val="auto"/>
              </w:rPr>
              <w:t>Ending in December 31, 2027</w:t>
            </w:r>
          </w:p>
        </w:tc>
        <w:tc>
          <w:tcPr>
            <w:tcW w:w="26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Straight-line over the access rights</w:t>
            </w:r>
          </w:p>
        </w:tc>
      </w:tr>
      <w:tr>
        <w:trPr>
          <w:trHeight w:val="234"/>
        </w:trPr>
        <w:tc>
          <w:tcPr>
            <w:tcW w:w="72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13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100 MW</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w:t>
            </w:r>
          </w:p>
        </w:tc>
        <w:tc>
          <w:tcPr>
            <w:tcW w:w="26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period</w:t>
            </w:r>
          </w:p>
        </w:tc>
      </w:tr>
      <w:tr>
        <w:trPr>
          <w:trHeight w:val="210"/>
        </w:trPr>
        <w:tc>
          <w:tcPr>
            <w:tcW w:w="7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3,801</w:t>
            </w: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172 MW</w:t>
            </w:r>
          </w:p>
        </w:tc>
        <w:tc>
          <w:tcPr>
            <w:tcW w:w="33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r>
      <w:tr>
        <w:trPr>
          <w:trHeight w:val="210"/>
        </w:trPr>
        <w:tc>
          <w:tcPr>
            <w:tcW w:w="7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336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spacing w:after="0"/>
              <w:rPr>
                <w:sz w:val="18"/>
                <w:szCs w:val="18"/>
                <w:color w:val="auto"/>
              </w:rPr>
            </w:pPr>
          </w:p>
        </w:tc>
      </w:tr>
      <w:tr>
        <w:trPr>
          <w:trHeight w:val="216"/>
        </w:trPr>
        <w:tc>
          <w:tcPr>
            <w:tcW w:w="7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4,713</w:t>
            </w: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178 MW</w:t>
            </w:r>
          </w:p>
        </w:tc>
        <w:tc>
          <w:tcPr>
            <w:tcW w:w="33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195" w:lineRule="auto"/>
        <w:tabs>
          <w:tab w:leader="none" w:pos="340" w:val="left"/>
        </w:tabs>
        <w:numPr>
          <w:ilvl w:val="0"/>
          <w:numId w:val="1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November 2023, the Company finalized an amendment to the existing contract for an additional 20 MW of energy capacity for a total capacity of 70 MW.</w:t>
      </w:r>
    </w:p>
    <w:p>
      <w:pPr>
        <w:spacing w:after="0" w:line="2" w:lineRule="exact"/>
        <w:rPr>
          <w:sz w:val="20"/>
          <w:szCs w:val="20"/>
          <w:color w:val="auto"/>
        </w:rPr>
      </w:pPr>
    </w:p>
    <w:p>
      <w:pPr>
        <w:ind w:left="340" w:right="20" w:hanging="332"/>
        <w:spacing w:after="0" w:line="187" w:lineRule="auto"/>
        <w:tabs>
          <w:tab w:leader="none" w:pos="340" w:val="left"/>
        </w:tabs>
        <w:numPr>
          <w:ilvl w:val="0"/>
          <w:numId w:val="1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May 2024, the Company finalized an amendment to the existing contract for an additional 100 MW of energy capacity for a total capacity of 200 MW.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5 and 14 to the 2023 Annual Financial Statements and Note 11 to the Financial Statements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9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48  Page</w:t>
      </w:r>
    </w:p>
    <w:p>
      <w:pPr>
        <w:sectPr>
          <w:pgSz w:w="11900" w:h="16838" w:orient="portrait"/>
          <w:cols w:equalWidth="0" w:num="1">
            <w:col w:w="11240"/>
          </w:cols>
          <w:pgMar w:left="320" w:top="90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discloses information on the classification and fair value of its financial instruments, as well as on the nature and extent of risks arising from financial instruments, and related risk management in Note 19 to the Financial Statements and Note 22 to the 2023 Annual Financial Statements. Risks are related to foreign currency, credit, counterparty, liquidity, and concentration.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discloses information on its related party transactions, as defined in IAS 24,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in Note 20 to the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Financial Statements, the Company has restated its consolidated statements of profit or loss and comprehensive profit or loss for the three and nine months September 30, 2023 and its consolidated statements of cash flows for the three and nine months September 30, 2023, which were previously filed on SEDAR+ and EDGAR. Subsequent to the original issuance of those financial statements, Management, with the assistance of outside counsel, conducted a review of the private placement financings which closed in 2021 (“2021 private placements'') to determine if the warrants issued should be recognized as financial liabilities and accounted for at fair value through profit and loss rather than as equity instruments.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2021 private placement financings were comprised of common shares and warrants. The warrants are convertible into a fixed number of common shares of the Company but have a contingent cashless exercise clause (i.e., there was a contingent variability provision). In accordance with IAS 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variability in the number of its own shares delivered upon exercise of the warrants would result in a financial liability.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Company concluded that the proper accounting classification of the warrants was as financial liabilities and accounted for at fair value through profit and loss. Although the conditional settlement provisions attached to the warrants are unlikely to occur, they are deemed to be genuine, and, accordingly, the warrants should be recognized as financial liabilities.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made adjustments to the figures reported in the previously mentioned financial statements periods and present the warrants issued in connection with the private placement financings as financial liabilities as shown in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financial statements restatement, please refer to Note 3d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49  Page</w:t>
      </w:r>
    </w:p>
    <w:p>
      <w:pPr>
        <w:sectPr>
          <w:pgSz w:w="11900" w:h="16838" w:orient="portrait"/>
          <w:cols w:equalWidth="0" w:num="1">
            <w:col w:w="11240"/>
          </w:cols>
          <w:pgMar w:left="320" w:top="90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CEO and Chief Financial Officer (“CFO”) of the Company, has designed or caused to be designed under their supervision disclosure controls and procedures (“DC&amp;P”) to provide reasonable assurance that:</w:t>
      </w:r>
    </w:p>
    <w:p>
      <w:pPr>
        <w:spacing w:after="0" w:line="162" w:lineRule="exact"/>
        <w:rPr>
          <w:sz w:val="20"/>
          <w:szCs w:val="20"/>
          <w:color w:val="auto"/>
        </w:rPr>
      </w:pPr>
    </w:p>
    <w:p>
      <w:pPr>
        <w:ind w:firstLine="8"/>
        <w:spacing w:after="0" w:line="282" w:lineRule="auto"/>
        <w:tabs>
          <w:tab w:leader="none" w:pos="17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is made known to them by others, particularly during the period in which the annual filings are being prepared;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58"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quarterly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the CEO and CFO, is also responsible for establishing and maintaining adequate internal controls over financial reporting (“ICFR”). Management, under the supervision of the CEO and CFO, has designed ICFR, or caused them to be designed under their supervision, to provide reasonable assurance regarding the reliability of financial reporting and the preparation of financial statements for external purposes in accordance with IFRS Accounting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material weaknesses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preparation of the Company’s financial statements for the year ended December 31, 2023 and specifically, in connection with the accounting for private placement warrants that were issued in the fourth quarter of 2023, Management identified an error in its accounting for previously issued warrants that were issued in connection with certain private placement financings in 2021. Management has determined that the control over accounting for complex financing transactions did not operate effectively in 2021 as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and for the three and nine months ended September 30, 2023, which has been reflected in the restated comparative periods (including an opening balance sheet as of January 1, 2022 and December 31, 2022, respectively) presented in the consolidated financial statements for the year ended December 31, 2023 and for the three and nine months ended September 30, 2024, respectively.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Section 14 for more details about the material errors and related restatements. Management considers these restatements to constitute a material weakness that requires remediation, and Management is in the process of implementing remediation measures to address the material weakness.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50  Page</w:t>
      </w:r>
    </w:p>
    <w:p>
      <w:pPr>
        <w:sectPr>
          <w:pgSz w:w="11900" w:h="16838" w:orient="portrait"/>
          <w:cols w:equalWidth="0" w:num="1">
            <w:col w:w="11240"/>
          </w:cols>
          <w:pgMar w:left="320" w:top="90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Management’s quarterly report on internal control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Status of remediation plan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Remediation efforts to date comprise expanding the finance team to include more Chartered Professional Accountants (CPAs) with technical expertise and experience in evaluating more complex areas of IFRS Accounting Standards, involving the Company's legal counsel on evaluating complex agreements involving financial instruments and engaging third-party consultants to assist with assessing the accounting for complex financial instruments and review of financial statements. Management’s efforts were in place at the end Q3 2024, and its remediation plan is expected to be completed during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remedial measures are insufficient to address the material weakness described above, or are not implemented timely, or additional deficiencies arise in the future, material misstatements in our interim or annual financial statements may occur in the future and could have the effects described in the “Risk Factors” section of the MD&amp;A for the year ended December 31, 2023.</w:t>
      </w:r>
    </w:p>
    <w:p>
      <w:pPr>
        <w:spacing w:after="0" w:line="172"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ICFR that have materially affected, or are reasonably likely to materially affect, the Company’s ICFR during the period beginning on July 1, 2024 and ended September 30, 2024.</w:t>
      </w:r>
    </w:p>
    <w:p>
      <w:pPr>
        <w:spacing w:after="0" w:line="158"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DC&amp;P and ICFR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control systems contain inherent limitations, regardless of how well designed. As a result,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RECENT AND SUBSEQUENT EVENTS</w:t>
      </w:r>
    </w:p>
    <w:p>
      <w:pPr>
        <w:spacing w:after="0" w:line="225"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21, 2024, the Company and Stronghold Digital Mining, Inc. (“Stronghold”) entered into a definitive merger agreement under which Bitfarms will acquire Stronghold in a stock-for-stock merger transaction (the “Transaction”). The Transaction is valued at approximately $125.0 million equity value plus the repayment of the Stronghold debt valued at approximately $50.0 million set to expire at closing.</w:t>
      </w:r>
    </w:p>
    <w:p>
      <w:pPr>
        <w:spacing w:after="0" w:line="172"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2024 ATM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October 1, 2024 to November 12, 2024, the Company issued 19,565,025 common shares through the 2024 ATM Program in exchange for gross proceeds of $40.0 million at an average share price of approximately $2.04. The Company received net proceeds of $38.7 million after paying commissions of $1.3 million to the sales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51  Page</w:t>
      </w:r>
    </w:p>
    <w:p>
      <w:pPr>
        <w:sectPr>
          <w:pgSz w:w="11900" w:h="16838" w:orient="portrait"/>
          <w:cols w:equalWidth="0" w:num="1">
            <w:col w:w="11240"/>
          </w:cols>
          <w:pgMar w:left="320" w:top="9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RECENT AND SUBSEQUENT EVENTS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Scrubgrass Hosting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the Company entered into a second hosting agreement with Stronghold (“Scrubgrass Hosting Agreement”). The Company will accelerate the deployment of 10,000 Bitmain S21 Pro Miners at Stronghold’s Scrubgrass site.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Scrubgrass Hosting Agreement commenced on November 1, 2024, and continues for an initial term expiring on December 31, 2025, after which it will automatically renew for additional one-year periods unless either party provides written notice of non-renewal. Pursuant to the Scrubgrass Hosting Agreement, Bitfarms will pay Stronghold a monthly fee equal to fifty percent of the profit generated by the Bitfarms miners, subject to certain monthly adjustments between the parties to account for the upfront monthly payment due from Bitfarms to Stronghold and for taxes and the net cost of power associated with the operation of the Bitfarms Miners.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Scrubgrass Hosting Agreement, Bitfarms also deposited with Stronghold $7.8 million, equal to the estimated cost of power for three months of operations of the Bitfarms miners, which will be refundable in full to Bitfarms within one business day of the end of the initial term expiring on December 31, 2025.</w:t>
      </w:r>
    </w:p>
    <w:p>
      <w:pPr>
        <w:spacing w:after="0" w:line="172"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Bitmain Contract Amendment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12, 2024, the Company amended the Purchase Option and the March 2024 Purchase Order and upgraded 18,853 Bitmain T21 Miners to 18,853 Bitmain S21 Pro Miners for an additional amount of $33.2 million. The Miners are expected to be delivered in December 2024 and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0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52  Page</w:t>
      </w:r>
    </w:p>
    <w:p>
      <w:pPr>
        <w:sectPr>
          <w:pgSz w:w="11900" w:h="16838" w:orient="portrait"/>
          <w:cols w:equalWidth="0" w:num="1">
            <w:col w:w="11240"/>
          </w:cols>
          <w:pgMar w:left="320" w:top="90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MD&amp;A, the Company has 472,500,346 common shares outstanding, 16,561,873 vested and 9,938,116 unvested stock options, 10,841,482 warrants outstanding and 964,332 restricted stock units. There are no preferred shares or any other classes of shares outstanding.</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10, 2024, the Board approved a shareholder rights plan (the “June 2024 Rights Plan”). On July 24, 2024, the Capital Markets Tribunal of the Ontario Securities Commission issued an order to cease trading any securities issued, or that may be issued, in connection with or pursuant to the June 2024 Rights plan. Also on July 24, 2024, the Board approved the adoption of a new shareholder rights plan (the “July 2024 Rights Plan”), pursuant to which one right (a “Right”) will be issued and attached to each common share outstanding as at August 6, 2024 (the “Record Time”). A Right will also be attached to each common share issued after the Record Time. Subject to the terms of the July 2024 Rights Plan, the Rights become exercisable if a person (the “Acquiring Person”), along with certain related persons (including persons “acting jointly or in concert” as defined in the July 2024 Rights Plan), acquires or announces its intention to acquire 20% or more of the common shares without complying with the “Permitted Bid” provisions of the July 2024 Rights Plan. Following a transaction that results in a person becoming an Acquiring Person, the Rights entitle the holder thereof to purchase common shares at a significant discount to the market price. The July 2024 Rights Plan is subject to the acceptance of the Toronto Stock Exchange (the “TSX”) and shareholder ratification within six months of its adoption. The TSX has notified the Company that the TSX will defer its consideration of the acceptance of the July 2024 Rights Plan until (a) such time as it is satisfied that the appropriate securities commission will not intervene pursuant to National Policy 62-202 and</w:t>
      </w:r>
    </w:p>
    <w:p>
      <w:pPr>
        <w:spacing w:after="0" w:line="4" w:lineRule="exact"/>
        <w:rPr>
          <w:sz w:val="20"/>
          <w:szCs w:val="20"/>
          <w:color w:val="auto"/>
        </w:rPr>
      </w:pPr>
    </w:p>
    <w:p>
      <w:pPr>
        <w:jc w:val="both"/>
        <w:ind w:firstLine="8"/>
        <w:spacing w:after="0" w:line="255" w:lineRule="auto"/>
        <w:tabs>
          <w:tab w:leader="none" w:pos="26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2024 Rights Plan is ratified by the shareholders of the Company by no later than January 24, 2025. A deferral of acceptance of the July 2024 Rights Plan by the TSX will not affect the adoption or operation of the July 2024 Rights Plan. The Board has recommended that shareholders of the Company ratify the July 2024 Rights Plan at the Company’s upcoming special meeting of shareholders to be held on November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53  Page</w:t>
      </w:r>
    </w:p>
    <w:p>
      <w:pPr>
        <w:sectPr>
          <w:pgSz w:w="11900" w:h="16838" w:orient="portrait"/>
          <w:cols w:equalWidth="0" w:num="1">
            <w:col w:w="11240"/>
          </w:cols>
          <w:pgMar w:left="320" w:top="90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CFO. The following is a discussion of regulatory compliance considerations specific to each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one 54 MW data center located in Cordoba, Argentina (with a current electrical infrastructure capacity of 55 MW). Refer to Section 6 - </w:t>
      </w:r>
      <w:r>
        <w:rPr>
          <w:rFonts w:ascii="Times New Roman" w:cs="Times New Roman" w:eastAsia="Times New Roman" w:hAnsi="Times New Roman"/>
          <w:sz w:val="18"/>
          <w:szCs w:val="18"/>
          <w:i w:val="1"/>
          <w:iCs w:val="1"/>
          <w:color w:val="auto"/>
        </w:rPr>
        <w:t>Expansion Projects - D. Argentina Expansion</w:t>
      </w:r>
      <w:r>
        <w:rPr>
          <w:rFonts w:ascii="Times New Roman" w:cs="Times New Roman" w:eastAsia="Times New Roman" w:hAnsi="Times New Roman"/>
          <w:sz w:val="18"/>
          <w:szCs w:val="18"/>
          <w:color w:val="auto"/>
        </w:rPr>
        <w:t xml:space="preserve"> of this MD&amp;A and the 2023 AIF under Section 5.2 </w:t>
      </w:r>
      <w:r>
        <w:rPr>
          <w:rFonts w:ascii="Times New Roman" w:cs="Times New Roman" w:eastAsia="Times New Roman" w:hAnsi="Times New Roman"/>
          <w:sz w:val="18"/>
          <w:szCs w:val="18"/>
          <w:i w:val="1"/>
          <w:iCs w:val="1"/>
          <w:color w:val="auto"/>
        </w:rPr>
        <w:t>- FUTURE GROWTH PLANS - ARGENTINA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in the 2023 AIF, and, as of the date of this MD&amp;A,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operates a total of two data centers with an aggregate power capacity of 80 MW located in the city of Villarrica, Paraguay. Refer to Section 6</w:t>
      </w:r>
    </w:p>
    <w:p>
      <w:pPr>
        <w:spacing w:after="0" w:line="21" w:lineRule="exact"/>
        <w:rPr>
          <w:sz w:val="20"/>
          <w:szCs w:val="20"/>
          <w:color w:val="auto"/>
        </w:rPr>
      </w:pPr>
    </w:p>
    <w:p>
      <w:pPr>
        <w:ind w:firstLine="8"/>
        <w:spacing w:after="0" w:line="260" w:lineRule="auto"/>
        <w:tabs>
          <w:tab w:leader="none" w:pos="14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 B. Paraguay Expansion </w:t>
      </w:r>
      <w:r>
        <w:rPr>
          <w:rFonts w:ascii="Times New Roman" w:cs="Times New Roman" w:eastAsia="Times New Roman" w:hAnsi="Times New Roman"/>
          <w:sz w:val="18"/>
          <w:szCs w:val="18"/>
          <w:color w:val="auto"/>
        </w:rPr>
        <w:t>of this MD&amp;A and the 2023 AIF under Section 5.3</w:t>
      </w:r>
      <w:r>
        <w:rPr>
          <w:rFonts w:ascii="Times New Roman" w:cs="Times New Roman" w:eastAsia="Times New Roman" w:hAnsi="Times New Roman"/>
          <w:sz w:val="18"/>
          <w:szCs w:val="18"/>
          <w:i w:val="1"/>
          <w:iCs w:val="1"/>
          <w:color w:val="auto"/>
        </w:rPr>
        <w:t xml:space="preserve"> - FUTURE GROWTH PLANS - PARAGUAY EXPANSION.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data center or conducting the business of the Company as described herein and in the 2023 AIF, and as of the date of this MD&amp;A,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a group of Paraguay’s Senators initially proposed a 180-day blanket ban on cryptocurrency mining due to concerns over power theft of and disruptions to the electricity supply. However, the Senate issued a statement in support of the legal cryptocurrency mining industry arguing that selling excess energy to Bitcoin miners unlocks substantial revenue streams, bolster Paraguay's economy and acknowledging that the proposed ban would not effectively address illegal Mining activities. The Senate held a public hearing on April 23, 2024 (the “Public Hearing”) to debate the merits and drawbacks of Bitcoin Mining in the country. Lawmakers acknowledged the potential issues caused by illegal Mining operations disrupting the power supply, but also recognized the potential economic benefits of embracing licensed Mining.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these discussions, several significant developments occurred. On June 26 2024, Congress in Paraguay sanctioned a bill, which was later promulgated as Law No. 7300. This law increases penalties for illegal use of electricity, particularly targeting unauthorized crypto mining. Penalties range from fines to imprisonment up to 10 years, with provisions for equipment confiscation.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54  Page</w:t>
      </w:r>
    </w:p>
    <w:p>
      <w:pPr>
        <w:sectPr>
          <w:pgSz w:w="11900" w:h="16838" w:orient="portrait"/>
          <w:cols w:equalWidth="0" w:num="1">
            <w:col w:w="11240"/>
          </w:cols>
          <w:pgMar w:left="320" w:top="90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REGULATORY COMPLIANCE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Paraguay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Secondly, also on June 26, 2024, ANDE issued a decree implementing an abrupt increase in tariffs for the cryptocurrency mining industry. The decree increased the electricity tariffs from 6% to 16%, a 10% point increase, across various voltage categories, effective July 1, 2024. The effective rate increase on the voltage level the Company uses was approximately 13.6%. Despite these challenges, the Company maintains its confidence in Paraguay’s potential as a favorable location for Mining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one 18 MW data center located in the State of Washington, United States, and has access to 12 MW of immediate available capacity in the State of Pennsylvania, United States. Refer to Section 6 - </w:t>
      </w:r>
      <w:r>
        <w:rPr>
          <w:rFonts w:ascii="Times New Roman" w:cs="Times New Roman" w:eastAsia="Times New Roman" w:hAnsi="Times New Roman"/>
          <w:sz w:val="18"/>
          <w:szCs w:val="18"/>
          <w:i w:val="1"/>
          <w:iCs w:val="1"/>
          <w:color w:val="auto"/>
        </w:rPr>
        <w:t>Expansion Projects - A. United States Expansion Expansion</w:t>
      </w:r>
      <w:r>
        <w:rPr>
          <w:rFonts w:ascii="Times New Roman" w:cs="Times New Roman" w:eastAsia="Times New Roman" w:hAnsi="Times New Roman"/>
          <w:sz w:val="18"/>
          <w:szCs w:val="18"/>
          <w:color w:val="auto"/>
        </w:rPr>
        <w:t xml:space="preserve"> of this MD&amp;A and the 2023 AIF under the Section 5.4 </w:t>
      </w:r>
      <w:r>
        <w:rPr>
          <w:rFonts w:ascii="Times New Roman" w:cs="Times New Roman" w:eastAsia="Times New Roman" w:hAnsi="Times New Roman"/>
          <w:sz w:val="18"/>
          <w:szCs w:val="18"/>
          <w:i w:val="1"/>
          <w:iCs w:val="1"/>
          <w:color w:val="auto"/>
        </w:rPr>
        <w:t>- FUTURE GROWTH PLANS - WASHINGTON 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the States of Washington and Pennsylvania on the business of operating a data center or conducting the business of the Company as described herein and/or in the 2023 AIF, and as of the date of this MD&amp;A, the Company has not received any material notices or statements from regulatory authorities in Washington or Pennsylvania that would negatively impact its operations in these jurisdictions. The Company is not relying on any registrations, exemptions, or “no action” letters to conduct its business in Washington and Pennsylvania.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Quebec</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a total of eight data centers with an aggregate power capacity of 159 MW located in the Province of Quebec, Canada. Refer to Section 6 - </w:t>
      </w:r>
      <w:r>
        <w:rPr>
          <w:rFonts w:ascii="Times New Roman" w:cs="Times New Roman" w:eastAsia="Times New Roman" w:hAnsi="Times New Roman"/>
          <w:sz w:val="18"/>
          <w:szCs w:val="18"/>
          <w:i w:val="1"/>
          <w:iCs w:val="1"/>
          <w:color w:val="auto"/>
        </w:rPr>
        <w:t>Expansion Projects - C. Canada Expansion</w:t>
      </w:r>
      <w:r>
        <w:rPr>
          <w:rFonts w:ascii="Times New Roman" w:cs="Times New Roman" w:eastAsia="Times New Roman" w:hAnsi="Times New Roman"/>
          <w:sz w:val="18"/>
          <w:szCs w:val="18"/>
          <w:color w:val="auto"/>
        </w:rPr>
        <w:t xml:space="preserve"> of this MD&amp;A and the 2023 AIF under the Section 5.5 </w:t>
      </w:r>
      <w:r>
        <w:rPr>
          <w:rFonts w:ascii="Times New Roman" w:cs="Times New Roman" w:eastAsia="Times New Roman" w:hAnsi="Times New Roman"/>
          <w:sz w:val="18"/>
          <w:szCs w:val="18"/>
          <w:i w:val="1"/>
          <w:iCs w:val="1"/>
          <w:color w:val="auto"/>
        </w:rPr>
        <w:t>- FUTURE GROWTH PLANS - 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Quebec or Canada on the business of operating a data center or conducting the business of the Company as described herein and in the 2023 AIF, and as of the date of this MD&amp;A, the Company has not received any material notices or statements from regulatory authorities in Quebec or Canada that would negatively impact its current operations in Quebec or Canada. The Company is not relying on any registrations, exemptions, or “no action” letters to conduct its business in Quebec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55  Page</w:t>
      </w:r>
    </w:p>
    <w:p>
      <w:pPr>
        <w:sectPr>
          <w:pgSz w:w="11900" w:h="16838" w:orient="portrait"/>
          <w:cols w:equalWidth="0" w:num="1">
            <w:col w:w="11240"/>
          </w:cols>
          <w:pgMar w:left="320" w:top="90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and is affected by several factors that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risks and uncertainties that Management considers as the most material to the Company's business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Company's MD&amp;A for the year ended December 31, 2023, dated March 6, 2024 and Section 4.19 -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 Factor</w:t>
      </w:r>
      <w:r>
        <w:rPr>
          <w:rFonts w:ascii="Times New Roman" w:cs="Times New Roman" w:eastAsia="Times New Roman" w:hAnsi="Times New Roman"/>
          <w:sz w:val="18"/>
          <w:szCs w:val="18"/>
          <w:color w:val="auto"/>
        </w:rPr>
        <w:t xml:space="preserve"> in the 2023 AIF. These risks and uncertainties have not materially changed during the nine months ended September 30, 2024, other than the risk described below, and hereby incorporated by reference.</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There is no assurance when or if the Stronghold Transaction will be completed, and regulatory approvals may not be received, may take longer than expected or may impose conditions that are not presently anticipated or cannot be met.</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completion of the Stronghold Transaction is subject to satisfaction or waiver of certain customary mutual closing conditions, including (i) the approval of the Stronghold Transaction proposal by the holders of Stronghold common stock, (ii) the absence of any governmental order or law that makes consummation of the Stronghold Transaction illegal or otherwise prohibited, (iii) receipt of certain approvals and consents from specified governmental entities, including, if applicable, the expiration or termination of the applicable waiting period under the Hart-Scott-Rodino Antitrust Improvements Act of 1976, (iv) the effectiveness of a registration statement on Form F-4, pursuant to which the Company’s common shares to be issued in connection with the Stronghold Transaction are registered with the SEC and (v) the authorization for listing of the Company’s common shares to be issued in connection with the Stronghold Transaction on the TSX and Nasdaq, subject to customary conditions and official notice of issuance. The obligation of each party to consummate the Stronghold Transaction is also conditioned upon, among other things, (1) the other party’s representations and warranties being true and correct (subject to applicable materiality and de minimis standards), (2) the other party having performed in all material respects its obligations required to be performed by it under the Merger Agreement at or prior to the effective time, (3) the absence of a material adverse effect on the other party and (4) certain conditions pertaining to Stronghold’s mining facilities. There can be no assurance as to when these conditions will be satisfied or waived, if at all, or that other events will not intervene to delay or result in the failure to complete the Stronghold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56  Page</w:t>
      </w:r>
    </w:p>
    <w:p>
      <w:pPr>
        <w:sectPr>
          <w:pgSz w:w="11900" w:h="16838" w:orient="portrait"/>
          <w:cols w:equalWidth="0" w:num="1">
            <w:col w:w="11240"/>
          </w:cols>
          <w:pgMar w:left="320" w:top="90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There is no assurance when or if the Stronghold Transaction will be completed, and regulatory approvals may not be received, may take longer than expected or may impose conditions that are not presently anticipated or cannot be met. </w:t>
      </w:r>
      <w:r>
        <w:rPr>
          <w:rFonts w:ascii="Times New Roman" w:cs="Times New Roman" w:eastAsia="Times New Roman" w:hAnsi="Times New Roman"/>
          <w:sz w:val="18"/>
          <w:szCs w:val="18"/>
          <w:color w:val="auto"/>
        </w:rPr>
        <w:t>(Continued)</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Stronghold and the Company have each agreed to, promptly following the execution of the Merger Agreement, prepare and file certain filings, submissions and notices and obtain consents, orders and approvals necessary to complete the Stronghold Transaction and the other transactions contemplated by the Merger Agreement. No assurance can be given that the required consents, orders and approvals will be obtained or that the required conditions to the completion of the Stronghold Transaction will be satisfied and an adverse development in either party’s regulatory standing or other factors could result in an inability to obtain one or more of the required regulatory approvals or delay receipt of required approvals. Even if all such consents, orders and approvals are obtained and such conditions are satisfied, no assurance can be given as to the terms, conditions and timing of such consents, orders and approvals. For example, these consents, orders and approvals may impose conditions on or require divestitures relating to the divisions, operations or assets of Stronghold and the Company or may impose requirements, limitations or costs or place restrictions on the conduct of Stronghold’s or the Company’s business, and if such consents, orders or approvals require an extended period of time to be obtained, such extended period of time could increase the chance that a material adverse event occurs with respect to Stronghold or the Company. Such extended period of time also may increase the chance that other adverse effects with respect to Stronghold or the Company could occur. Each party’s obligation to complete the Stronghold Transaction is also subject to the accuracy of the representations and warranties of the other party (subject to certain qualifications and exceptions) and the performance in all material respects of the other party’s covenants under the Merger Agreement. As a result of these conditions, the Company cannot provide assurance that the Stronghold Transaction will be completed on the terms or timeline currently contemplated, or at 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value of the Company’s common shares may decline as a result of the Stronghold Transaction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value of the Company’s common shares may decline as a result of the Stronghold Transaction if, among other things, the combined company is unable to achieve the expected growth in earnings or if the transaction costs related to the Stronghold Transaction are greater than expected. The market value also may decline if the combined company does not achieve the perceived benefits of the Stronghold Transaction as rapidly or to the extent anticipated by the market or if the effect of the Stronghold Transaction on the combined company’s business, financial position, results of operations or cash flows is not consistent with the expectations of financial or industry analysts.</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Company may be the target of securities class action and derivative lawsuits which could result in substantial costs and may delay or prevent the Stronghold Transaction from being completed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Additionally, if a plaintiff is successful in obtaining an injunction prohibiting consummation of the Stronghold Transaction, then that injunction may delay or prevent the Stronghold Transaction from being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57  Page</w:t>
      </w:r>
    </w:p>
    <w:p>
      <w:pPr>
        <w:sectPr>
          <w:pgSz w:w="11900" w:h="16838" w:orient="portrait"/>
          <w:cols w:equalWidth="0" w:num="1">
            <w:col w:w="11240"/>
          </w:cols>
          <w:pgMar w:left="320" w:top="90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The announcement and pendency of the Stronghold Transaction could adversely affect the Company’s business, results of operations and financial condition.</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announcement and pendency of the Stronghold Transaction could adversely affect the Company’s business, results of operations and financial condition and could cause disruptions in and create uncertainty surrounding the Company’s business, including affecting the Company’s relationships with its existing and future business partners, suppliers and employees, which could have an adverse effect on the Company’s business, results of operations and financial condition, regardless of whether the Stronghold Transaction is completed.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Stronghold Transaction is not completed, the trading prices of the Company’s common shares may fall to the extent that the current prices reflect a market assumption that the Stronghold Transaction will be completed. In addition, the failure to complete the Stronghold Transaction may result in negative publicity or a negative impression of Stronghold and/or the Company in the investment community and may affect the Company’s relationship with employees, suppliers and other partners in the business community.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will incur substantial transaction fees and costs in connection with the Stronghold Transaction.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incurred and expects to incur additional material non-recurring expenses in connection with the Stronghold Transaction and completion of the transactions contemplated by the Merger Agreement, including costs relating to obtaining required approvals. The Company has incurred significant legal, advisory and financial services fees in connection with the process of negotiating and evaluating the terms of the Stronghold Transaction. Additional significant unanticipated costs may be incurred in the course of coordinating the businesses of Stronghold and the Company after completion of the Stronghold Transaction. Even if the Stronghold Transaction is not completed, the Company will be required to pay certain costs relating to the Stronghold Transaction incurred prior to the date the Stronghold Transaction was abandoned, such as legal, accounting, financial advisory, filing and printing fees. Such costs may be significant and could have an adverse effect on the Company’s future results of operations, cash flows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demands will be placed on the Company as a result of the Stronghold Transaction.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demands will be placed on the Company as a result of the Stronghold Transaction and the Company has expended, and continues to expend, significant management resources in an effort to complete the Stronghold Transaction, which are being diverted from the Company’s day-to-day operations. In addition, as a result of the completion of the Stronghold Transaction, significant demands will be placed on the managerial, operational and financial personnel and systems of the Company. The Company cannot assure that their systems, procedures and controls will be adequate to support the expansion of operations following and resulting from the Stronghold Transaction. The future operating results of the combined company will be affected by the ability of its officers and key employees to manage changing business conditions and to implement and expand its operational and financial controls and reporting systems in response to the Stronghold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03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58  Page</w:t>
      </w:r>
    </w:p>
    <w:p>
      <w:pPr>
        <w:sectPr>
          <w:pgSz w:w="11900" w:h="16838" w:orient="portrait"/>
          <w:cols w:equalWidth="0" w:num="1">
            <w:col w:w="11240"/>
          </w:cols>
          <w:pgMar w:left="320" w:top="90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While the Merger Agreement is in effect, the Company and its respective subsidiaries’ businesses are subject to restrictions on its business activities.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Merger Agreement, the Company is subject to certain restrictions on the conduct of its business and generally must operate its business in the ordinary course prior to completing the Stronghold Transaction (unless the Company obtains Stronghold’s written consent, which is not to be unreasonably withheld, delayed or conditioned), which may restrict the Company’s ability to exercise certain of its business strategies. These restrictions may prevent the Company from pursuing otherwise attractive business opportunities, making certain investments or acquisitions, selling assets, engaging in capital expenditures in excess of certain agreed limits or incurring indebtedness prior to the completion of the Stronghold Transaction or termination of the Merger Agreement, as applicable. These restrictions could have an adverse effect on the Company’s businesses, financial results, financial condition or share price.</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Except in specified circumstances, if the Stronghold Transaction is not completed by May 21, 2025, subject to extension in specified circumstances, either Stronghold or the Company may choose not to proceed with the Stronghold Transaction.</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Except in specified circumstances, if the Stronghold Transaction is not completed by May 21, 2025, subject to extension in specified circumstances, either Stronghold or the Company may choose not to proceed with the Stronghold Transaction.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Either Stronghold or the Company may terminate the Merger Agreement if the Stronghold Transaction has not been completed by 5:00 p.m. New York, New York time, on May 21, 2025. However, this right to terminate the Merger Agreement will not be available to Stronghold or the Company if the failure of such party to perform any of its obligations under the Merger Agreement has been the principal cause of or resulted in the failure of the Stronghold Transaction to be complete on or before such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termination of the Merger Agreement could negatively impact the Company and, in certain circumstances, could require Stronghold or the Company to pay certain termination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03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59  Page</w:t>
      </w:r>
    </w:p>
    <w:p>
      <w:pPr>
        <w:sectPr>
          <w:pgSz w:w="11900" w:h="16838" w:orient="portrait"/>
          <w:cols w:equalWidth="0" w:num="1">
            <w:col w:w="11240"/>
          </w:cols>
          <w:pgMar w:left="320" w:top="90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termination of the Merger Agreement could negatively Impact the Company and, in certain circumstances, could require Stronghold or the Company to pay certain termination fees.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Merger Agreement is subject to a number of customary closing conditions that must be fulfilled in order to complete the Stronghold Transaction and contains certain termination rights for both Stronghold and the Company, which, if exercised, would result in the Stronghold Transaction not being completed. If the Stronghold merger is not completed for any reason, including as a result of Stronghold stockholders failing to approve the Stronghold Transaction proposal or if the Merger Agreement is terminated in accordance with its terms, the ongoing business of the Company may be adversely affected and, without realizing any of the anticipated benefits of having completed the Stronghold Transaction, the Company would be subject to a number of risks, including the following:</w:t>
      </w:r>
    </w:p>
    <w:p>
      <w:pPr>
        <w:spacing w:after="0" w:line="2" w:lineRule="exact"/>
        <w:rPr>
          <w:sz w:val="20"/>
          <w:szCs w:val="20"/>
          <w:color w:val="auto"/>
        </w:rPr>
      </w:pPr>
    </w:p>
    <w:p>
      <w:pPr>
        <w:ind w:left="660" w:hanging="328"/>
        <w:spacing w:after="0" w:line="250"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negative reactions from the financial markets, including a decline of its share price (which may reflect a market assumption that the Stronghold Transaction will be completed);</w:t>
      </w:r>
    </w:p>
    <w:p>
      <w:pPr>
        <w:ind w:left="660" w:hanging="328"/>
        <w:spacing w:after="0" w:line="250"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negative reactions from or irreparable reputational harm as perceived by the Company’s investment community, suppliers, peers regulators, employees, partners in the business community and any other third party whether presently known or unknown; and</w:t>
      </w:r>
    </w:p>
    <w:p>
      <w:pPr>
        <w:ind w:left="660" w:hanging="328"/>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a material adverse effect on the Company’s businesses, operations, earnings and financial results.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Merger Agreement is terminated under circumstances specified in the Merger Agreement, Stronghold may be required to pay the Company a termination fee of $5,000,000 and the Company may be required to pay Stronghold a reverse termination fee of $12,500,000 (minus the amount of the deposit, as defined in the Panther Creek Hosting Agreement between Stronghold and the Company dated September 12, 2024, held by Stronghold and not yet returned to the Company under the Panther Creek Hosting Agreement as of the date of the termination of the Merger Agreement, such deposit amount being up to a maximum of $5,000,000), in the form of cash and/or Bitcoin (at the election of the Company), depending on the circumstances surrounding the termination. There is no guarantee that Stronghold or the Company will have sufficient funds to make these contractually required payments to the other party,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03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60  Page</w:t>
      </w:r>
    </w:p>
    <w:p>
      <w:pPr>
        <w:sectPr>
          <w:pgSz w:w="11900" w:h="16838" w:orient="portrait"/>
          <w:cols w:equalWidth="0" w:num="1">
            <w:col w:w="11240"/>
          </w:cols>
          <w:pgMar w:left="320" w:top="90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combined company may not realized all of the anticipated benefits of the Stronghold Transaction.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combined company may not realize all of the anticipated benefits of the Stronghold Transactions even if Bitfarms believes that the Stronghold Transaction will provide benefits to the combined company. However, there is a risk that some or all of the expected benefits of the Stronghold Transaction may fail to materialize, or may not occur within the time periods anticipated by Bitfarms. The realization of such benefits may be affected by a number of factors, including regulatory considerations and decisions, many of which are beyond the control of Bitfarms and Stronghold. The challenge of coordinating previously independent businesses makes evaluating the business and future financial prospects of the combined company following the Stronghold Transaction difficult. Stronghold and Bitfarms have operated and, until completion of the merger, will continue to operate, independently. The success of the Stronghold Transaction, including anticipated benefits and cost savings, will depend, in part, on the ability to successfully integrate the operations of both companies. The past financial performance of each of Stronghold and Bitfarms may not be indicative of their future financial performance. Realization of the anticipated benefits in the Stronghold Transaction will depend, in part, on the combined company’s ability to successfully integrate Stronghold and Bitfarms’ businesses. The combined company will be required to devote significant management attention and resources to integrating its business practices and support functions. The diversion of management’s attention and any delays or difficulties encountered in connection with the Stronghold Transaction and the coordination of the two companies’ operations could have an adverse effect on the business, financial results, financial condition or the share price of the combined company following the Stronghold Transaction. The coordination process may also result in additional and unforeseen expenses.</w:t>
      </w:r>
    </w:p>
    <w:p>
      <w:pPr>
        <w:spacing w:after="0" w:line="1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Failure to realize all of the anticipated benefits of the Stronghold Transaction may impact the financial performance of the combined company and the price of the combined company’s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61  Page</w:t>
      </w:r>
    </w:p>
    <w:p>
      <w:pPr>
        <w:sectPr>
          <w:pgSz w:w="11900" w:h="16838" w:orient="portrait"/>
          <w:cols w:equalWidth="0" w:num="1">
            <w:col w:w="11240"/>
          </w:cols>
          <w:pgMar w:left="320" w:top="90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In connection with the Stronghold Transaction, the consolidated indebtedness of the Company may increase substantially, including with respect to the satisfaction or assumption of the outstanding obligations under Stronghold’s credit agreement, and the increased level of indebtedness following the completion of the Stronghold Transaction could adversely affect the Company after the Stronghold Transaction, including by decreasing its business flexibility and by impacting its ability to raise additional capital and to meet its obligations under its indebtedness.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the Stronghold Transaction, the consolidated indebtedness of the Company may increase substantially, including with respect to the satisfaction or assumption of the outstanding obligations under Stronghold’s credit agreement, and the increased level of indebtedness following the completion of the Stronghold Transaction could adversely affect the Company after the Stronghold Transaction, including by decreasing its business flexibility and by impacting its ability to raise additional capital and to meet its obligations under its indebtedness.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to the extent requested by the Company, Stronghold will, at the Company’s expense, use reasonable best efforts to promptly obtain any consents or amendments as necessary to permit the consummation of the Stronghold Transaction under Stronghold’s credit agreement (the “COC Amendment”), but the obtaining of the COC Amendment is not a closing condition to the Stronghold Transaction. If the COC Amendment is not obtained on or prior to closing, the Company will be required to satisfy all outstanding obligations under such credit agreement and certain other debt instruments of Stronghold prior to or substantially concurrently with the consummation of the Stronghold Transaction, which could reduce funds available for capital expenditures and other activities of the Company. If the COC Amendment is obtained on or prior to closing, the Company may assume an estimated $50 million of outstanding net debt of Stronghold, which could have the effect of, among other things, reducing the Company’s flexibility to respond to changing business and economic conditions.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any incurrence of additional indebtedness, including in connection with the satisfaction or assumption of outstanding obligations under Stronghold’s credit agreement or other indebtedness the Company assumes in connection with the Stronghold Transaction, could have important consequences for the post-Stronghold Transaction Company’s creditors and its shareholders. For example, it could limit the Company’s ability to obtain additional financing for working capital, capital expenditures, debt service requirements, acquisitions and general corporate or other purposes; restrict the Company from making strategic acquisitions or cause the Company to make non-strategic divestitures; restrict the Company from paying dividends to its shareholders; increase the Company’s vulnerability to general economic and industry conditions; and require a substantial portion of cash flow from operations to be dedicated to the payment of principal and interest on the Company’s indebtedness, thereby reducing the Company’s ability to use cash flows to fund its operations, capital expenditures and future business opportunities. Any increased levels of indebtedness following completion of the Stronghold Transaction and corresponding increased demands on the Company’s cash resources may create competitive disadvantages for the Company relative to other companies with lower debt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62  Page</w:t>
      </w:r>
    </w:p>
    <w:p>
      <w:pPr>
        <w:sectPr>
          <w:pgSz w:w="11900" w:h="16838" w:orient="portrait"/>
          <w:cols w:equalWidth="0" w:num="1">
            <w:col w:w="11240"/>
          </w:cols>
          <w:pgMar w:left="320" w:top="90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Investors in the Company’s common shares may suffer dilution as a result of the Stronghold Transaction and other issuances of the Company’s securities.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Investors in the Company’s common shares may suffer dilution as a result of the Stronghold Transaction and other issuances of the Company’s securities. The number of common shares that the Company is authorized to issue is unlimited. The Company will, pursuant to the Merger Agreement, issue up to approximately 66,071,717 common shares, and may, in its sole discretion, as part of future offerings, issue additional common shares and/or securities convertible into or exercisable for common shares from time to time subject to the rules of any applicable stock exchange on which the common shares are then listed and applicable securities law. The Company cannot predict the size or price of future issuances of common shares or the size or terms of future issuances of debt instruments or other securities convertible into common shares, or the effect, if any, that such future issuances and sales will have on the market price of the common shares. The issuance of any additional common shares and/or securities convertible into or exercisable for common shares may have a dilutive effect on the interests of holders of the Company’s common shares.</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Company currently qualifies as an “emerging growth company”; however, the Company will cease to qualify as such as of December 31, 2024, and will be required to comply with the auditor attestation requirements of Section 404(b) of the Sarbanes-Oxley Act.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Bitfarms currently qualifies as an “emerging growth company”; however, Bitfarms will cease to qualify as such as of December 31, 2024, and will be required to comply with the auditor attestation requirements of Section 404(b) of the Sarbanes-Oxley Act.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is an “emerging growth company” as defined in the Jumpstart our Business Startups Act of 2012, and has been able to take advantage of certain exemptions and relief from various reporting requirements that are applicable to other public companies that are not emerging growth companies. In particular, as an emerging growth company, Bitfarms has not been required to comply with the auditor attestation requirements of Section 404(b) of the Sarbanes-Oxley Act of 2002 (the “Sarbanes-Oxley Act”). However, Bitfarms will cease to qualify as an emerging growth company as of December 31, 2024.</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Once Bitfarms no longer qualifies as an emerging growth company, the exemption from the auditor attestation report requirements under Section 404(b) of the Sarbanes-Oxley Act will no longer apply. Any testing by Bitfarms conducted in connection with Section 404(b) of the Sarbanes-Oxley Act, or the subsequent testing by Bitfarms’ independent registered public accounting firm conducted in connection with Section 404(b) of the Sarbanes-Oxley Act, may reveal deficiencies in Bitfarms’ internal control over financial reporting that are deemed to be material weaknesses or that may require prospective or retroactive changes to Bitfarms’ financial statements or identify other areas for further attention or improvement. Any material weaknesses in internal controls could cause investors to lose confidence in Bitfarms’ reported financial information, which could have a negative effect on the trading price of Bitfarms common shares. In addition, preparation of the auditor’s attestation report and the cost of compliance with reporting requirements that Bitfarms has not previously implemented have increased, and will continue to increase, Bitfarms’ expenses and require significant management time, and investors may find Bitfarms common shares less attractive because of the additional compliance costs, which could have a negative impact on the trading price of Bitfarms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9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63  Page</w:t>
      </w:r>
    </w:p>
    <w:p>
      <w:pPr>
        <w:sectPr>
          <w:pgSz w:w="11900" w:h="16838" w:orient="portrait"/>
          <w:cols w:equalWidth="0" w:num="1">
            <w:col w:w="11240"/>
          </w:cols>
          <w:pgMar w:left="320" w:top="90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Company’s business could be negatively impacted by unsolicited investor interest, takeover proposals, shareholder activism or proxy contests relating to the election of directors.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Bitfarms’ business could be negatively impacted by unsolicited investor interest, takeover proposals, shareholder activism or proxy contests relating to the election of directors.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22, 2024, Bitfarms received an unsolicited proposal from Riot to acquire 100% of the issued and outstanding common shares of Bitfarms (the “Unsolicited Proposal”). A special committee of the Board, consisting solely of independent directors (the “Bitfarms Special Committee”), considered the Unsolicited Proposal and determined it significantly undervalued Bitfarms and its growth prospects. On June 24, 2024, the Unsolicited Proposal was withdrawn; however, Riot requisitioned a special meeting of Bitfarms shareholders (the “Bitfarms Special Meeting”) for the purpose of replacing a majority of the Board with three of its nominees and initiated a hearing before the Capital Markets Tribunal of the Ontario Securities Commission. On September 3, 2024, Riot amended its requisition, instead seeking to replace two members of the Board with two of its nominees at the Bitfarms Special Meeting and also threatened litigation.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23, 2024, Bitfarms entered into a settlement agreement (the “Settlement Agreement”) with Riot, pursuant to which, among other things, Riot agreed to withdraw its June 24, 2024 requisition and to accept customary standstill provisions through Bitfarms’ 2026 annual meeting, subject to certain exceptions, and Bitfarms agreed to make certain changes to its Board, including the resignation of an existing director, the appointment of a nominee of the investor to the Board and the governance and nominating and compensation committees of the Board, and to seek approval from the Bitfarms shareholders at the Bitfarms Special Meeting to, among other things, expand the Board from five to six members and elect an independent director nominated by the Board to serve as the sixth member of the Board. Bitfarms also provided Riot with certain rights (subject to certain exceptions) to purchase shares of Bitfarms, provided the investor holds 15% or more of the outstanding Bitfarms common shares.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events surrounding the Unsolicited Proposal, Bitfarms Special Meeting, Settlement Agreement and related circumstances and Bitfarms’ responses thereto required significant time and attention by Bitfarms’ management team and Board and required Bitfarms to incur significant legal and advisory fees and expenses. In the future, similar actions taken by third parties, including unsolicited takeover proposals, the initiation of proxy contests and litigation by adverse parties could disrupt Bitfarms’ business, distract Bitfarms from efforts to improve its business, cause Bitfarms to incur substantial additional expenses, create perceived uncertainties as to Bitfarms’ future direction and result in significant fluctuations in the price of Bitfarms common shares, all of which could harm Bitfarms’ business and materially and adversely affect its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Noise Pollution and Community Opposition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Mining operations involve the use of a large numbers of high-powered Miners and cooling systems that generate significant noise. This noise can pose several risks to the Company’s business including community complaints, reputational damage, litigation risk, regulatory risk, operational constraints, increased costs and opposition to expansion. These risks could lead to fines or penalties imposed by local governments, requirements to implement costly noise mitigation measures, restrictions on the Company’s operating hours, reduction of scale of the Company’s operations, stricter noise controls regulations on the Company’s operations, potential shutdown of data centers that cannot meet local noise regulations, damages resulting from lawsuits and difficulty obtaining necessary permits and approvals for expanding existing data centers or establishing new site operations. While the Company strives to be a good corporate citizen and mitigate noise impacts where possible, the inherently noisy nature of large-scale cryptocurrency Mining operations presents ongoing risks to the Company’s business that may negatively affect its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64  Page</w:t>
      </w:r>
    </w:p>
    <w:p>
      <w:pPr>
        <w:sectPr>
          <w:pgSz w:w="11900" w:h="16838" w:orient="portrait"/>
          <w:cols w:equalWidth="0" w:num="1">
            <w:col w:w="11240"/>
          </w:cols>
          <w:pgMar w:left="320" w:top="90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SIGNIFICANT ACCOUNTING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significant accounting judgments, estimates and assumptions are summarized in Note 4 to the 2023 Annual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MATERIAL ACCOUNTING POLICY INFORMATION AND NEW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3 to the 2023 Annual Financial Statements and Note 3 to the Financial Statements for more information regarding the Company's material accounting policy information and new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Bitcoin Halving event;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markets operating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Bitcoin Network Difficulty and share price fluctuations;</w:t>
      </w: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65  Page</w:t>
      </w:r>
    </w:p>
    <w:p>
      <w:pPr>
        <w:sectPr>
          <w:pgSz w:w="11900" w:h="16838" w:orient="portrait"/>
          <w:cols w:equalWidth="0" w:num="1">
            <w:col w:w="11240"/>
          </w:cols>
          <w:pgMar w:left="320" w:top="90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80" w:hanging="272"/>
        <w:spacing w:after="0"/>
        <w:tabs>
          <w:tab w:leader="none" w:pos="28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limited history of de-centralized financial system;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demands upon Management and accounting and finance resources as a result of complying with the laws and regulations affecting public companies;</w:t>
      </w: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or internet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environmental, social, and governance practices and the impacts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 political and regulatory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being classified as a passive foreign investment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unsolicited take-over bids;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to consummate the Stronghold Transaction and the failure to consummate or delays in consummating the Stronghold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satisfy the conditions required to consummate the Stronghold Transaction;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Stronghold Transaction or otherwise require the Company to modify the terms and conditions of the Stronghold Transaction, including to achieve regulatory or stockholder approval;</w:t>
      </w:r>
    </w:p>
    <w:p>
      <w:pPr>
        <w:jc w:val="both"/>
        <w:ind w:left="660" w:hanging="328"/>
        <w:spacing w:after="0" w:line="250" w:lineRule="auto"/>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costs and uncertainties associated with integrating the business successfully and risks of not achieving all or any of the anticipated benefits and synergies of the Stronghold Transaction, or the risk that the anticipated benefits and synergies of the Stronghold Transaction may not be fully realized or take longer to realize than expected;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or delays in connection with or with respect to the Stronghold Transaction;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Stronghold Transaction that may impact the ability of Bitfarms to pursue certain business opportunities or strategic transactions; and</w:t>
      </w:r>
    </w:p>
    <w:p>
      <w:pPr>
        <w:ind w:left="660" w:hanging="328"/>
        <w:spacing w:after="0"/>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Company’s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66  Page</w:t>
      </w:r>
    </w:p>
    <w:p>
      <w:pPr>
        <w:sectPr>
          <w:pgSz w:w="11900" w:h="16838" w:orient="portrait"/>
          <w:cols w:equalWidth="0" w:num="1">
            <w:col w:w="11240"/>
          </w:cols>
          <w:pgMar w:left="320" w:top="90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 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more comprehensive discussion of factors that could affect the Company, refer to the risk factors discussed above and those contained in the “Risk Factors” of the 2023 AIF.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CAUTIONARY NOTE REGARDING NON-IFRS AND OTHER FINANCIAL MEASURES AND RATIOS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This MD&amp;A makes reference to certain measures that are not recognized under IFRS and do not have a standardized meaning prescribed by IFRS.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“Operating margin”, “Direct Cost”, “Direct Cost per BTC”, “Total Cash Cost” and “Total Cash Cost per BTC” as additional information to complement IFRS measures by providing further understanding of the Company’s results of operations from Management’s perspective. Refer to Section 9</w:t>
      </w:r>
    </w:p>
    <w:p>
      <w:pPr>
        <w:spacing w:after="0" w:line="3" w:lineRule="exact"/>
        <w:rPr>
          <w:sz w:val="20"/>
          <w:szCs w:val="20"/>
          <w:color w:val="auto"/>
        </w:rPr>
      </w:pPr>
    </w:p>
    <w:p>
      <w:pPr>
        <w:ind w:left="120" w:hanging="112"/>
        <w:spacing w:after="0"/>
        <w:tabs>
          <w:tab w:leader="none" w:pos="1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the MD&amp;A for more details.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including the Company’s 2023 AIF, are available through the internet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97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67  Page</w:t>
      </w:r>
    </w:p>
    <w:p>
      <w:pPr>
        <w:sectPr>
          <w:pgSz w:w="11900" w:h="16838" w:orient="portrait"/>
          <w:cols w:equalWidth="0" w:num="1">
            <w:col w:w="11240"/>
          </w:cols>
          <w:pgMar w:left="320" w:top="90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GLOSSARY OF TERMS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46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87"/>
        </w:trPr>
        <w:tc>
          <w:tcPr>
            <w:tcW w:w="17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Artificial Intelligence</w:t>
            </w:r>
          </w:p>
        </w:tc>
        <w:tc>
          <w:tcPr>
            <w:tcW w:w="946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color w:val="auto"/>
              </w:rPr>
              <w:t>A branch of technology enabling computers and machines to replicate human-like abilities, including learning, understanding,</w:t>
            </w:r>
          </w:p>
        </w:tc>
      </w:tr>
      <w:tr>
        <w:trPr>
          <w:trHeight w:val="238"/>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(AI)</w:t>
            </w:r>
          </w:p>
        </w:tc>
        <w:tc>
          <w:tcPr>
            <w:tcW w:w="9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problem-solving, decision-making, creativity, and autonomous action.</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ASIC</w:t>
            </w:r>
          </w:p>
        </w:tc>
        <w:tc>
          <w:tcPr>
            <w:tcW w:w="946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ASIC stands for Application Specific Integrated Circuit and refers primarily to specific computer devices designed to solve the</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SHA-256 algorithm.</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Bitcoin (BTC)</w:t>
            </w:r>
          </w:p>
        </w:tc>
        <w:tc>
          <w:tcPr>
            <w:tcW w:w="946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BTC is a decentralized digital currency that is not controlled by any centralized authority (e.g., a government, financial</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institution or regulatory organization) that can be sent from user to user on the Bitcoin network without the need for</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intermediaries to clear transactions. Transactions are verified through the process of Mining and recorded in a public ledger</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known as the Blockchain. BTC is created when the Bitcoin network issues Block Rewards through the Mining process.</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Block Reward</w:t>
            </w:r>
          </w:p>
        </w:tc>
        <w:tc>
          <w:tcPr>
            <w:tcW w:w="946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 Bitcoin Block Reward refers to the new BTC that are awarded by the Blockchain network to eligible cryptocurrency Miners</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 each block they successfully mine. The current block reward is 3.125 BTC per block.</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Blockchain</w:t>
            </w:r>
          </w:p>
        </w:tc>
        <w:tc>
          <w:tcPr>
            <w:tcW w:w="946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 Blockchain is a cloud-based public ledger that exists on computers that participate on the network globally. The Blockchain</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grows as new sets of data, or 'blocks', are added to it through Mining. Each block contains a timestamp and a link to the previous</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block, such that the series of blocks form a continuous chain. Given that each block has a separate hash and each hash requires</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information from the previous block, altering information an established block would require recalculating all the hashes on the</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Blockchain which would require an enormous and impracticable amount of computing power. As a result, once a block is added</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 the Blockchain it is very difficult to edit and impossible to delete.</w:t>
            </w:r>
          </w:p>
        </w:tc>
      </w:tr>
      <w:tr>
        <w:trPr>
          <w:trHeight w:val="210"/>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Exahash or EH/s</w:t>
            </w:r>
          </w:p>
        </w:tc>
        <w:tc>
          <w:tcPr>
            <w:tcW w:w="9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One quintillion (1,000,000,000,000,000,000) hashes or one million Terahash per second.</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Hash</w:t>
            </w:r>
          </w:p>
        </w:tc>
        <w:tc>
          <w:tcPr>
            <w:tcW w:w="946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 hash is a function that converts or maps an input of letters and numbers into an encrypted output of a fixed length, which</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outputs are often referred to as hashes. A hash is created using an algorithm. The algorithm used in the validation of Bitcoin</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transactions is the SHA-256 algorithm.</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Hashrate</w:t>
            </w:r>
          </w:p>
        </w:tc>
        <w:tc>
          <w:tcPr>
            <w:tcW w:w="946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Hashrate refers to the number of hash operations performed per second and is a measure of computing power in Mining</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187"/>
        </w:trPr>
        <w:tc>
          <w:tcPr>
            <w:tcW w:w="17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Hashrate Under</w:t>
            </w:r>
          </w:p>
        </w:tc>
        <w:tc>
          <w:tcPr>
            <w:tcW w:w="946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color w:val="auto"/>
              </w:rPr>
              <w:t>Hashrate from the Miners the Company owns and from Miners hosted and managed by the Company.</w:t>
            </w:r>
          </w:p>
        </w:tc>
      </w:tr>
      <w:tr>
        <w:trPr>
          <w:trHeight w:val="238"/>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8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87"/>
        </w:trPr>
        <w:tc>
          <w:tcPr>
            <w:tcW w:w="17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High Performance</w:t>
            </w:r>
          </w:p>
        </w:tc>
        <w:tc>
          <w:tcPr>
            <w:tcW w:w="946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color w:val="auto"/>
              </w:rPr>
              <w:t>Advanced computing capability that allows for rapid data processing and complex calculations at exceptionally high speeds,</w:t>
            </w:r>
          </w:p>
        </w:tc>
      </w:tr>
      <w:tr>
        <w:trPr>
          <w:trHeight w:val="238"/>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Computing (HPC)</w:t>
            </w:r>
          </w:p>
        </w:tc>
        <w:tc>
          <w:tcPr>
            <w:tcW w:w="9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essential for handling large datasets and complex computational tasks.</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Hosting</w:t>
            </w:r>
          </w:p>
        </w:tc>
        <w:tc>
          <w:tcPr>
            <w:tcW w:w="946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 service in which a company provides infrastructure, power, and cooling solutions to house and operate cryptocurrency mining</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equipment owned by clients.</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Megawatt or MW</w:t>
            </w:r>
          </w:p>
        </w:tc>
        <w:tc>
          <w:tcPr>
            <w:tcW w:w="946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 megawatt is 1,000 kilowatts of electricity and, in the industry of cryptocurrency Mining, is typically a reference to the number</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of megawatts of electricity per hour that is available for use.</w:t>
            </w:r>
          </w:p>
        </w:tc>
      </w:tr>
      <w:tr>
        <w:trPr>
          <w:trHeight w:val="210"/>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9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ASICs used by the Company to perform Mining.</w:t>
            </w:r>
          </w:p>
        </w:tc>
      </w:tr>
      <w:tr>
        <w:trPr>
          <w:trHeight w:val="460"/>
        </w:trPr>
        <w:tc>
          <w:tcPr>
            <w:tcW w:w="178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56"/>
        </w:trPr>
        <w:tc>
          <w:tcPr>
            <w:tcW w:w="1780" w:type="dxa"/>
            <w:vAlign w:val="bottom"/>
          </w:tcPr>
          <w:p>
            <w:pPr>
              <w:spacing w:after="0"/>
              <w:rPr>
                <w:sz w:val="22"/>
                <w:szCs w:val="22"/>
                <w:color w:val="auto"/>
              </w:rPr>
            </w:pPr>
          </w:p>
        </w:tc>
        <w:tc>
          <w:tcPr>
            <w:tcW w:w="8820" w:type="dxa"/>
            <w:vAlign w:val="bottom"/>
            <w:tcBorders>
              <w:right w:val="single" w:sz="8" w:color="auto"/>
            </w:tcBorders>
          </w:tcPr>
          <w:p>
            <w:pPr>
              <w:ind w:left="8560"/>
              <w:spacing w:after="0"/>
              <w:rPr>
                <w:sz w:val="20"/>
                <w:szCs w:val="20"/>
                <w:color w:val="auto"/>
              </w:rPr>
            </w:pPr>
            <w:r>
              <w:rPr>
                <w:rFonts w:ascii="Times New Roman" w:cs="Times New Roman" w:eastAsia="Times New Roman" w:hAnsi="Times New Roman"/>
                <w:sz w:val="18"/>
                <w:szCs w:val="18"/>
                <w:color w:val="auto"/>
              </w:rPr>
              <w:t>68</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GLOSSARY OF TERMS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56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20" w:type="dxa"/>
            <w:vAlign w:val="bottom"/>
          </w:tcPr>
          <w:p>
            <w:pPr>
              <w:spacing w:after="0"/>
              <w:rPr>
                <w:sz w:val="19"/>
                <w:szCs w:val="19"/>
                <w:color w:val="auto"/>
              </w:rPr>
            </w:pPr>
          </w:p>
        </w:tc>
      </w:tr>
      <w:tr>
        <w:trPr>
          <w:trHeight w:val="191"/>
        </w:trPr>
        <w:tc>
          <w:tcPr>
            <w:tcW w:w="16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Mining</w:t>
            </w:r>
          </w:p>
        </w:tc>
        <w:tc>
          <w:tcPr>
            <w:tcW w:w="9560" w:type="dxa"/>
            <w:vAlign w:val="bottom"/>
            <w:gridSpan w:val="2"/>
          </w:tcPr>
          <w:p>
            <w:pPr>
              <w:ind w:left="240"/>
              <w:spacing w:after="0" w:line="191" w:lineRule="exact"/>
              <w:rPr>
                <w:sz w:val="20"/>
                <w:szCs w:val="20"/>
                <w:color w:val="auto"/>
              </w:rPr>
            </w:pPr>
            <w:r>
              <w:rPr>
                <w:rFonts w:ascii="Times New Roman" w:cs="Times New Roman" w:eastAsia="Times New Roman" w:hAnsi="Times New Roman"/>
                <w:sz w:val="18"/>
                <w:szCs w:val="18"/>
                <w:color w:val="auto"/>
              </w:rPr>
              <w:t>Mining refers to the process of using specialized computer hardware, and in the case of the Company, ASICs, to perform</w:t>
            </w:r>
          </w:p>
        </w:tc>
        <w:tc>
          <w:tcPr>
            <w:tcW w:w="2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9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mathematical calculations to confirm transactions and increase security for the BTC Blockchain. As a reward for their services,</w:t>
            </w:r>
          </w:p>
        </w:tc>
      </w:tr>
      <w:tr>
        <w:trPr>
          <w:trHeight w:val="234"/>
        </w:trPr>
        <w:tc>
          <w:tcPr>
            <w:tcW w:w="1680" w:type="dxa"/>
            <w:vAlign w:val="bottom"/>
          </w:tcPr>
          <w:p>
            <w:pPr>
              <w:spacing w:after="0"/>
              <w:rPr>
                <w:sz w:val="20"/>
                <w:szCs w:val="20"/>
                <w:color w:val="auto"/>
              </w:rPr>
            </w:pPr>
          </w:p>
        </w:tc>
        <w:tc>
          <w:tcPr>
            <w:tcW w:w="9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Bitcoin Miners collect transaction fees for the transactions they confirm, along with newly created BTC as Block Rewards.</w:t>
            </w:r>
          </w:p>
        </w:tc>
      </w:tr>
      <w:tr>
        <w:trPr>
          <w:trHeight w:val="191"/>
        </w:trPr>
        <w:tc>
          <w:tcPr>
            <w:tcW w:w="1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Mining Pool</w:t>
            </w:r>
          </w:p>
        </w:tc>
        <w:tc>
          <w:tcPr>
            <w:tcW w:w="9560" w:type="dxa"/>
            <w:vAlign w:val="bottom"/>
            <w:tcBorders>
              <w:top w:val="single" w:sz="8" w:color="auto"/>
            </w:tcBorders>
            <w:gridSpan w:val="2"/>
          </w:tcPr>
          <w:p>
            <w:pPr>
              <w:ind w:left="240"/>
              <w:spacing w:after="0" w:line="191" w:lineRule="exact"/>
              <w:rPr>
                <w:sz w:val="20"/>
                <w:szCs w:val="20"/>
                <w:color w:val="auto"/>
              </w:rPr>
            </w:pPr>
            <w:r>
              <w:rPr>
                <w:rFonts w:ascii="Times New Roman" w:cs="Times New Roman" w:eastAsia="Times New Roman" w:hAnsi="Times New Roman"/>
                <w:sz w:val="18"/>
                <w:szCs w:val="18"/>
                <w:color w:val="auto"/>
              </w:rPr>
              <w:t>A Mining Pool is a group of cryptocurrency Miners who pool their computational resources, or Hashrate, in order to increase the</w:t>
            </w:r>
          </w:p>
        </w:tc>
        <w:tc>
          <w:tcPr>
            <w:tcW w:w="2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9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probability of finding a block on the BTC Blockchain. Mining Pools administer regular payouts to mitigate the risk of Miners</w:t>
            </w:r>
          </w:p>
        </w:tc>
      </w:tr>
      <w:tr>
        <w:trPr>
          <w:trHeight w:val="234"/>
        </w:trPr>
        <w:tc>
          <w:tcPr>
            <w:tcW w:w="1680" w:type="dxa"/>
            <w:vAlign w:val="bottom"/>
          </w:tcPr>
          <w:p>
            <w:pPr>
              <w:spacing w:after="0"/>
              <w:rPr>
                <w:sz w:val="20"/>
                <w:szCs w:val="20"/>
                <w:color w:val="auto"/>
              </w:rPr>
            </w:pPr>
          </w:p>
        </w:tc>
        <w:tc>
          <w:tcPr>
            <w:tcW w:w="9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operating for a prolonged period of time without finding a block.</w:t>
            </w:r>
          </w:p>
        </w:tc>
      </w:tr>
      <w:tr>
        <w:trPr>
          <w:trHeight w:val="191"/>
        </w:trPr>
        <w:tc>
          <w:tcPr>
            <w:tcW w:w="1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Network Difficulty</w:t>
            </w:r>
          </w:p>
        </w:tc>
        <w:tc>
          <w:tcPr>
            <w:tcW w:w="9560" w:type="dxa"/>
            <w:vAlign w:val="bottom"/>
            <w:tcBorders>
              <w:top w:val="single" w:sz="8" w:color="auto"/>
            </w:tcBorders>
            <w:gridSpan w:val="2"/>
          </w:tcPr>
          <w:p>
            <w:pPr>
              <w:ind w:left="240"/>
              <w:spacing w:after="0" w:line="191" w:lineRule="exact"/>
              <w:rPr>
                <w:sz w:val="20"/>
                <w:szCs w:val="20"/>
                <w:color w:val="auto"/>
              </w:rPr>
            </w:pPr>
            <w:r>
              <w:rPr>
                <w:rFonts w:ascii="Times New Roman" w:cs="Times New Roman" w:eastAsia="Times New Roman" w:hAnsi="Times New Roman"/>
                <w:sz w:val="18"/>
                <w:szCs w:val="18"/>
                <w:color w:val="auto"/>
              </w:rPr>
              <w:t>Network Difficulty is a unitless measure of how difficult it is to find a hash below a given target. The Bitcoin network protocol</w:t>
            </w:r>
          </w:p>
        </w:tc>
        <w:tc>
          <w:tcPr>
            <w:tcW w:w="2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9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automatically adjusts Network Difficulty by changing the target every 2,016 blocks hashed based on the time it took for the total</w:t>
            </w:r>
          </w:p>
        </w:tc>
      </w:tr>
      <w:tr>
        <w:trPr>
          <w:trHeight w:val="216"/>
        </w:trPr>
        <w:tc>
          <w:tcPr>
            <w:tcW w:w="1680" w:type="dxa"/>
            <w:vAlign w:val="bottom"/>
          </w:tcPr>
          <w:p>
            <w:pPr>
              <w:spacing w:after="0"/>
              <w:rPr>
                <w:sz w:val="18"/>
                <w:szCs w:val="18"/>
                <w:color w:val="auto"/>
              </w:rPr>
            </w:pPr>
          </w:p>
        </w:tc>
        <w:tc>
          <w:tcPr>
            <w:tcW w:w="9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computing power used in Bitcoin Mining to solve the previous 2,016 blocks such that the average time to solve each block is ten</w:t>
            </w:r>
          </w:p>
        </w:tc>
      </w:tr>
      <w:tr>
        <w:trPr>
          <w:trHeight w:val="234"/>
        </w:trPr>
        <w:tc>
          <w:tcPr>
            <w:tcW w:w="1680" w:type="dxa"/>
            <w:vAlign w:val="bottom"/>
          </w:tcPr>
          <w:p>
            <w:pPr>
              <w:spacing w:after="0"/>
              <w:rPr>
                <w:sz w:val="20"/>
                <w:szCs w:val="20"/>
                <w:color w:val="auto"/>
              </w:rPr>
            </w:pPr>
          </w:p>
        </w:tc>
        <w:tc>
          <w:tcPr>
            <w:tcW w:w="9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minutes.</w:t>
            </w:r>
          </w:p>
        </w:tc>
      </w:tr>
      <w:tr>
        <w:trPr>
          <w:trHeight w:val="209"/>
        </w:trPr>
        <w:tc>
          <w:tcPr>
            <w:tcW w:w="1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Network Hashrate</w:t>
            </w:r>
          </w:p>
        </w:tc>
        <w:tc>
          <w:tcPr>
            <w:tcW w:w="956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Network Hashrate refers to the total global hashrate (and related computing power) used in Mining for a given cryptocurrency.</w:t>
            </w:r>
          </w:p>
        </w:tc>
        <w:tc>
          <w:tcPr>
            <w:tcW w:w="20" w:type="dxa"/>
            <w:vAlign w:val="bottom"/>
          </w:tcPr>
          <w:p>
            <w:pPr>
              <w:spacing w:after="0"/>
              <w:rPr>
                <w:sz w:val="18"/>
                <w:szCs w:val="18"/>
                <w:color w:val="auto"/>
              </w:rPr>
            </w:pPr>
          </w:p>
        </w:tc>
      </w:tr>
      <w:tr>
        <w:trPr>
          <w:trHeight w:val="209"/>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Petahash or PH/s</w:t>
            </w:r>
          </w:p>
        </w:tc>
        <w:tc>
          <w:tcPr>
            <w:tcW w:w="95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One quadrillion (1,000,000,000,000,000) hashes or one thousand Terahash per second.</w:t>
            </w:r>
          </w:p>
        </w:tc>
        <w:tc>
          <w:tcPr>
            <w:tcW w:w="20" w:type="dxa"/>
            <w:vAlign w:val="bottom"/>
          </w:tcPr>
          <w:p>
            <w:pPr>
              <w:spacing w:after="0"/>
              <w:rPr>
                <w:sz w:val="18"/>
                <w:szCs w:val="18"/>
                <w:color w:val="auto"/>
              </w:rPr>
            </w:pPr>
          </w:p>
        </w:tc>
      </w:tr>
      <w:tr>
        <w:trPr>
          <w:trHeight w:val="191"/>
        </w:trPr>
        <w:tc>
          <w:tcPr>
            <w:tcW w:w="16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SHA-256</w:t>
            </w:r>
          </w:p>
        </w:tc>
        <w:tc>
          <w:tcPr>
            <w:tcW w:w="9560" w:type="dxa"/>
            <w:vAlign w:val="bottom"/>
            <w:gridSpan w:val="2"/>
          </w:tcPr>
          <w:p>
            <w:pPr>
              <w:ind w:left="240"/>
              <w:spacing w:after="0" w:line="191" w:lineRule="exact"/>
              <w:rPr>
                <w:sz w:val="20"/>
                <w:szCs w:val="20"/>
                <w:color w:val="auto"/>
              </w:rPr>
            </w:pPr>
            <w:r>
              <w:rPr>
                <w:rFonts w:ascii="Times New Roman" w:cs="Times New Roman" w:eastAsia="Times New Roman" w:hAnsi="Times New Roman"/>
                <w:sz w:val="18"/>
                <w:szCs w:val="18"/>
                <w:color w:val="auto"/>
              </w:rPr>
              <w:t>SHA stands for Secure Hash Algorithm. The SHA-256 algorithm was designed by the US National Security Agency and is the</w:t>
            </w:r>
          </w:p>
        </w:tc>
        <w:tc>
          <w:tcPr>
            <w:tcW w:w="20" w:type="dxa"/>
            <w:vAlign w:val="bottom"/>
          </w:tcPr>
          <w:p>
            <w:pPr>
              <w:spacing w:after="0"/>
              <w:rPr>
                <w:sz w:val="16"/>
                <w:szCs w:val="16"/>
                <w:color w:val="auto"/>
              </w:rPr>
            </w:pPr>
          </w:p>
        </w:tc>
      </w:tr>
      <w:tr>
        <w:trPr>
          <w:trHeight w:val="234"/>
        </w:trPr>
        <w:tc>
          <w:tcPr>
            <w:tcW w:w="1680" w:type="dxa"/>
            <w:vAlign w:val="bottom"/>
          </w:tcPr>
          <w:p>
            <w:pPr>
              <w:spacing w:after="0"/>
              <w:rPr>
                <w:sz w:val="20"/>
                <w:szCs w:val="20"/>
                <w:color w:val="auto"/>
              </w:rPr>
            </w:pPr>
          </w:p>
        </w:tc>
        <w:tc>
          <w:tcPr>
            <w:tcW w:w="9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cryptographic hash function used within the Bitcoin network to validate transactions on the Bitcoin Blockchain.</w:t>
            </w:r>
          </w:p>
        </w:tc>
      </w:tr>
      <w:tr>
        <w:trPr>
          <w:trHeight w:val="191"/>
        </w:trPr>
        <w:tc>
          <w:tcPr>
            <w:tcW w:w="1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Synthetic HODL</w:t>
            </w:r>
          </w:p>
        </w:tc>
        <w:tc>
          <w:tcPr>
            <w:tcW w:w="9560" w:type="dxa"/>
            <w:vAlign w:val="bottom"/>
            <w:tcBorders>
              <w:top w:val="single" w:sz="8" w:color="auto"/>
            </w:tcBorders>
            <w:gridSpan w:val="2"/>
          </w:tcPr>
          <w:p>
            <w:pPr>
              <w:ind w:left="240"/>
              <w:spacing w:after="0" w:line="191" w:lineRule="exact"/>
              <w:rPr>
                <w:sz w:val="20"/>
                <w:szCs w:val="20"/>
                <w:color w:val="auto"/>
              </w:rPr>
            </w:pPr>
            <w:r>
              <w:rPr>
                <w:rFonts w:ascii="Times New Roman" w:cs="Times New Roman" w:eastAsia="Times New Roman" w:hAnsi="Times New Roman"/>
                <w:sz w:val="18"/>
                <w:szCs w:val="18"/>
                <w:color w:val="auto"/>
              </w:rPr>
              <w:t>Synthetic HODL is the Company’s use of financial instruments to generate BTC exposure with inherent risk management,</w:t>
            </w:r>
          </w:p>
        </w:tc>
        <w:tc>
          <w:tcPr>
            <w:tcW w:w="20" w:type="dxa"/>
            <w:vAlign w:val="bottom"/>
          </w:tcPr>
          <w:p>
            <w:pPr>
              <w:spacing w:after="0"/>
              <w:rPr>
                <w:sz w:val="16"/>
                <w:szCs w:val="16"/>
                <w:color w:val="auto"/>
              </w:rPr>
            </w:pPr>
          </w:p>
        </w:tc>
      </w:tr>
      <w:tr>
        <w:trPr>
          <w:trHeight w:val="234"/>
        </w:trPr>
        <w:tc>
          <w:tcPr>
            <w:tcW w:w="1680" w:type="dxa"/>
            <w:vAlign w:val="bottom"/>
          </w:tcPr>
          <w:p>
            <w:pPr>
              <w:spacing w:after="0"/>
              <w:rPr>
                <w:sz w:val="20"/>
                <w:szCs w:val="20"/>
                <w:color w:val="auto"/>
              </w:rPr>
            </w:pPr>
          </w:p>
        </w:tc>
        <w:tc>
          <w:tcPr>
            <w:tcW w:w="9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capital efficiency and leverage characteristics.</w:t>
            </w:r>
          </w:p>
        </w:tc>
      </w:tr>
      <w:tr>
        <w:trPr>
          <w:trHeight w:val="209"/>
        </w:trPr>
        <w:tc>
          <w:tcPr>
            <w:tcW w:w="1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Terahash or TH/s</w:t>
            </w:r>
          </w:p>
        </w:tc>
        <w:tc>
          <w:tcPr>
            <w:tcW w:w="956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One trillion (1,000,000,000,000) hashes or one Terahash per second.</w:t>
            </w:r>
          </w:p>
        </w:tc>
        <w:tc>
          <w:tcPr>
            <w:tcW w:w="20" w:type="dxa"/>
            <w:vAlign w:val="bottom"/>
          </w:tcPr>
          <w:p>
            <w:pPr>
              <w:spacing w:after="0"/>
              <w:rPr>
                <w:sz w:val="18"/>
                <w:szCs w:val="18"/>
                <w:color w:val="auto"/>
              </w:rPr>
            </w:pPr>
          </w:p>
        </w:tc>
      </w:tr>
      <w:tr>
        <w:trPr>
          <w:trHeight w:val="433"/>
        </w:trPr>
        <w:tc>
          <w:tcPr>
            <w:tcW w:w="168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1680" w:type="dxa"/>
            <w:vAlign w:val="bottom"/>
          </w:tcPr>
          <w:p>
            <w:pPr>
              <w:spacing w:after="0"/>
              <w:rPr>
                <w:sz w:val="22"/>
                <w:szCs w:val="22"/>
                <w:color w:val="auto"/>
              </w:rPr>
            </w:pPr>
          </w:p>
        </w:tc>
        <w:tc>
          <w:tcPr>
            <w:tcW w:w="8920" w:type="dxa"/>
            <w:vAlign w:val="bottom"/>
            <w:tcBorders>
              <w:right w:val="single" w:sz="8" w:color="auto"/>
            </w:tcBorders>
          </w:tcPr>
          <w:p>
            <w:pPr>
              <w:ind w:left="8660"/>
              <w:spacing w:after="0"/>
              <w:rPr>
                <w:sz w:val="20"/>
                <w:szCs w:val="20"/>
                <w:color w:val="auto"/>
              </w:rPr>
            </w:pPr>
            <w:r>
              <w:rPr>
                <w:rFonts w:ascii="Times New Roman" w:cs="Times New Roman" w:eastAsia="Times New Roman" w:hAnsi="Times New Roman"/>
                <w:sz w:val="18"/>
                <w:szCs w:val="18"/>
                <w:color w:val="auto"/>
              </w:rPr>
              <w:t>69</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 Gagnon, Chief Executive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September 30,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980" w:hanging="324"/>
        <w:spacing w:after="0"/>
        <w:tabs>
          <w:tab w:leader="none" w:pos="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weakness;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July 1, 2024 and ended on September 30, 2024 that has materially affected, or is reasonably likely to materially affect, the issuer’s ICFR.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8"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Lucas, Chief Financial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September 30,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660" w:right="2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980" w:hanging="324"/>
        <w:spacing w:after="0"/>
        <w:tabs>
          <w:tab w:leader="none" w:pos="9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weakness;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July 1, 2024 and ended on September 30, 2024 that has materially affected, or is reasonably likely to materially affect, the issuer’s ICFR.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 MATERIAL CHANGE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press release attached as Schedule “A” was released on November 13, 2024 by a newswire company in Canada and filed under the Company’s profile on SEDAR+.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(647) 259-1790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154305</wp:posOffset>
            </wp:positionV>
            <wp:extent cx="3171825" cy="8312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317182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Bitfarms Reports Third Quarter 2024 Results</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Revenue of $45 million, up 8% Q/Q and up 30% Y/Y -</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 Gross mining margin of 38%, compared to 51% in Q2 2024 and 44% in Q3 2023 -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 Current hashrate of 11.9 EH/s, up from 10.4 EH/s in Q2 2024 -</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 Current efficiency of 21 w/TH, a 16% improvement from June 30, 2024 -</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 xml:space="preserve">- Synthetic HODL increased to 802 at October 31, 2024 from 208 long-dated BTC call options at June 30, 2024, up 286% </w:t>
      </w:r>
      <w:r>
        <w:rPr>
          <w:rFonts w:ascii="Times New Roman" w:cs="Times New Roman" w:eastAsia="Times New Roman" w:hAnsi="Times New Roman"/>
          <w:sz w:val="18"/>
          <w:szCs w:val="18"/>
          <w:color w:val="auto"/>
          <w:strike w:val="1"/>
        </w:rPr>
        <w:t>-</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amended and restated prospectus supplement dated October 4, 2024, to its short form base shelf prospectus dated November 10, 2023.</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(November 13, 2024) </w:t>
      </w:r>
      <w:r>
        <w:rPr>
          <w:rFonts w:ascii="Times New Roman" w:cs="Times New Roman" w:eastAsia="Times New Roman" w:hAnsi="Times New Roman"/>
          <w:sz w:val="18"/>
          <w:szCs w:val="18"/>
          <w:color w:val="auto"/>
        </w:rPr>
        <w:t>- Bitfarms Ltd. (Nasdaq/TSX: BITF), a global vertically integrated Bitcoin data center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reported its financial results for the third quarter ended September 30, 2024. All financial references are in U.S. dollars.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Bitfarms continued to execute its transformational fleet upgrade and executed upon its strategic rebalancing and expansion of its operations in the 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that end, Bitfarms announced its acquisition of Stronghold Digital Mining, Inc (Nasdaq: SDIG) (“Stronghold”), which is expected to put Bitfarms on track to increase its energy portfolio to over 950 MW by year-end 2025 with potential for multi-year expansion capacity of up to 1.6 GW. This represents a significant shift of Bitfarms’ portfolio towards the U.S., which will come to represent approximately 66% of the Company’s total portfolio, an eleven-fold increase from 6% operating power in the U.S. today. Bitfarms has already begun maximizing the utility of the Stronghold sites with two consecutive hosting agreements totaling 20,000 miners, signed in September and October, supporting approximately 4 EH/s. Upon close of the Stronghold acquisition, these hosting agreements will revert to self-mining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make progress on its fleet upgrade program, deploying 5,400 additional miners during the quarter and achieving its efficiency target of 21 w/TH three months ahead of schedule. This efficiency represents a 40% improvement year-to-date, reducing direct operating costs per terahash and improving gross margins.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Bitfarms will be upgrading the remaining 18,853 T21 miners to be delivered by Bitmain as part of Bitfarms’ fleet upgrade program announced last year. Under the agreement, Bitfarms will be installing more powerful and efficient S21 Pro miners, operating at 234 TH/s and 15 w/TH, which represents more than a 20% improvement from the T21 miners in both energy efficiency and hashrate.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quarter, Bitfarms took significant steps to strengthen its leadership team with new hires and a new management structure, providing greater scalability and accountability in data center development and operations, and laying the foundation for the establishment of HPC/AI operations. Bitfarms also strengthened its corporate governance with the appointment of two new directors and the appointment of the former Lead Director to Independent Chairman. The Bitfarms Board of Directors now consists of five members, four of whom are independent. The Company will hold a Special Meeting on November 20th to vote on an expansion of the Board from five to six members, the nomination of Andrew J. Chang to the Board, and the ratification of the Company’s Shareholder Rights Plan.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line with its strategy to diversify beyond Bitcoin mining and maximize the value of its power assets, Bitfarms has selected two U.S. sites for a one to two MW HPC/AI pilot site. While still early stages, the land and power are secured at both sites, with active conversations taking place with potential partners and suppliers to discuss potential accelerated deployment in 2025. The Company is currently in the process of finalizing terms, plans and budgets as the first step in executing a comprehensive long-term HPC/AI strategy.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CFO Jeff Lucas concluded, “Despite third quarter headwinds of record low hashprices for the Bitcoin mining industry, a 62% year-over-year increase in network difficulty, and the first full quarter following the April Halving Event, our mining operations remained profitable and continued to drive free cash flow. While we achieved our year-end efficiency target of 21 w/TH in the third quarter, shipping delays and continued miner servicing of our Bitmain T21s impacted our ability to reach 21 EH/s in 2024. We are working closely with Bitmain on warranty servicing and miner upgrades and expect to reach 21 EH/s in the first half of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communicated, 2024 has been a transformative year for Bitfarms,” stated CEO Ben Gagnon. “Year-to-date, we’ve refreshed nearly our entire fleet of miners, significantly improving our mining economics, acquired one new site and entered into agreements to acquire two additional new sites in the U.S., and completely revamped our operational and Board structure, strengthening our leadership and corporate governance.  We are now uniquely positioned with a strategic pipeline of over 950 MW in 2025 with nearly half a gigawatt of power infrastructure unallocated with miners. This represents a massive, secured, and cost-effective near-term growth opportunity with the flexibility necessary to maximize shareholder value as we approach the anticipated 2025 Bitcoin bull cycle.”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2024 &amp; Recent Operating Highlights</w:t>
      </w:r>
    </w:p>
    <w:p>
      <w:pPr>
        <w:spacing w:after="0" w:line="225" w:lineRule="exact"/>
        <w:rPr>
          <w:sz w:val="20"/>
          <w:szCs w:val="20"/>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w:t>
      </w:r>
    </w:p>
    <w:p>
      <w:pPr>
        <w:spacing w:after="0" w:line="3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1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Current hashrate of 11.9 EH/s, up from 10.4 EH/s in Q2 2024.</w:t>
      </w:r>
    </w:p>
    <w:p>
      <w:pPr>
        <w:spacing w:after="0" w:line="9"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1"/>
          <w:numId w:val="1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Averaged 7.6 BTC per day in daily production for Q3 2024.</w:t>
      </w:r>
    </w:p>
    <w:p>
      <w:pPr>
        <w:spacing w:after="0" w:line="20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Data Center Portfolio Expansion &amp; Fleet Upgrade</w:t>
      </w:r>
    </w:p>
    <w:p>
      <w:pPr>
        <w:spacing w:after="0" w:line="31" w:lineRule="exact"/>
        <w:rPr>
          <w:rFonts w:ascii="Times New Roman" w:cs="Times New Roman" w:eastAsia="Times New Roman" w:hAnsi="Times New Roman"/>
          <w:sz w:val="18"/>
          <w:szCs w:val="18"/>
          <w:b w:val="1"/>
          <w:bCs w:val="1"/>
          <w:i w:val="1"/>
          <w:iCs w:val="1"/>
          <w:color w:val="auto"/>
        </w:rPr>
      </w:pPr>
    </w:p>
    <w:p>
      <w:pPr>
        <w:ind w:left="1300" w:hanging="320"/>
        <w:spacing w:after="0" w:line="250" w:lineRule="auto"/>
        <w:tabs>
          <w:tab w:leader="none" w:pos="13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Deployed 5,400 additional miners across three data centers in Canada, U.S., and Paraguay, for a total of approximately 47,900 miners deployed year-to-date in 2024.</w:t>
      </w:r>
    </w:p>
    <w:p>
      <w:pPr>
        <w:ind w:left="1300" w:hanging="320"/>
        <w:spacing w:after="0" w:line="250" w:lineRule="auto"/>
        <w:tabs>
          <w:tab w:leader="none" w:pos="13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definitive merger agreement, pursuant to which the Company will acquire Stronghold, a vertically integrated crypto asset mining company with operations located in Pennsylvania, in a stock-for-stock merger transaction.</w:t>
      </w:r>
    </w:p>
    <w:p>
      <w:pPr>
        <w:jc w:val="both"/>
        <w:ind w:left="1300" w:hanging="320"/>
        <w:spacing w:after="0" w:line="250" w:lineRule="auto"/>
        <w:tabs>
          <w:tab w:leader="none" w:pos="13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the lease agreement in Sharon, Pennsylvania, providing the Company with an immediate capacity of 12 MW of electricity with up to 98 MW of additional development capacity. Bitfarms also signed a letter of intent for a lease to an additional 10 MW site, which would bring total site capacity to 120 MW.</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two miner hosting agreements with Stronghold as of October 31, 2024 which will accelerate the deployment of 20,000 miners supporting approximately 4.0 EH/s.</w:t>
      </w:r>
    </w:p>
    <w:p>
      <w:pPr>
        <w:jc w:val="both"/>
        <w:ind w:left="1300" w:hanging="320"/>
        <w:spacing w:after="0" w:line="253" w:lineRule="auto"/>
        <w:tabs>
          <w:tab w:leader="none" w:pos="13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12, 2024 the Company amended its agreements with Bitmain to upgrade the remaining 18,853 Bitmain T21 miners to be delivered by Bitmain to superior performing S21 Pro miners. The upgrade will cost an incremental $33.2 million payable in cash or Bitcoin with the option for the Company to redeem the Bitcoin for cash in four quarterly payments based on the price of Bitcoin at the time the Bitcoin is originally tendered.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660" w:hanging="328"/>
        <w:spacing w:after="0"/>
        <w:tabs>
          <w:tab w:leader="none" w:pos="66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Personnel Appointments &amp; Corporate Updates</w:t>
      </w:r>
    </w:p>
    <w:p>
      <w:pPr>
        <w:spacing w:after="0" w:line="31" w:lineRule="exact"/>
        <w:rPr>
          <w:rFonts w:ascii="Times New Roman" w:cs="Times New Roman" w:eastAsia="Times New Roman" w:hAnsi="Times New Roman"/>
          <w:sz w:val="18"/>
          <w:szCs w:val="18"/>
          <w:b w:val="1"/>
          <w:bCs w:val="1"/>
          <w:color w:val="auto"/>
        </w:rPr>
      </w:pPr>
    </w:p>
    <w:p>
      <w:pPr>
        <w:jc w:val="both"/>
        <w:ind w:left="1300" w:hanging="320"/>
        <w:spacing w:after="0" w:line="250" w:lineRule="auto"/>
        <w:tabs>
          <w:tab w:leader="none" w:pos="13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Ben Gagnon as Chief Executive Officer (“CEO”) and Director of the Board of Directors (“the Board”), Liam Wilson as Chief Operating Officer, Benoit Gobeil as Chief Infrastructure Officer, Alex Brammer as SVP of Mining Operations, and Rachel Silverstein as U.S. General Counsel.</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Amy Freedman as Independent Director of the Board and Lead Director Brian Howlett as Independent Chairman of the Board; accepted the resignations of Nicolas Bonta and Andrés Finkielsztain from the Board.</w:t>
      </w:r>
    </w:p>
    <w:p>
      <w:pPr>
        <w:ind w:left="1300" w:hanging="320"/>
        <w:spacing w:after="0"/>
        <w:tabs>
          <w:tab w:leader="none" w:pos="13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settlement agreement with Riot Platforms, Inc. on September 24,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the employment dispute with the former CEO.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Nominated Andrew Chang for election to the Board at the Special Meeting of Shareholders, taking place on November 20,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2024 Financial Highlights</w:t>
      </w:r>
    </w:p>
    <w:p>
      <w:pPr>
        <w:spacing w:after="0" w:line="31" w:lineRule="exact"/>
        <w:rPr>
          <w:sz w:val="20"/>
          <w:szCs w:val="20"/>
          <w:color w:val="auto"/>
        </w:rPr>
      </w:pPr>
    </w:p>
    <w:p>
      <w:pPr>
        <w:ind w:left="1300" w:hanging="320"/>
        <w:spacing w:after="0"/>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$45 million, up 8% Q/Q.</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profit* and gross mining margin* of $17 million and 38%, respectively, down from $21 million and 51% in Q2 2024, respectively.</w:t>
      </w:r>
    </w:p>
    <w:p>
      <w:pPr>
        <w:ind w:left="1300" w:hanging="320"/>
        <w:spacing w:after="0"/>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of $28 million, up 123% Q/Q.</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$44 million, which included $10 million accelerated depreciation on older miners in connection with the transformative fleet upgrade, compared to an operating loss of $24 million in Q2 2024, which included $46 million accelerated depreciation on older miners.</w:t>
      </w:r>
    </w:p>
    <w:p>
      <w:pPr>
        <w:spacing w:after="0" w:line="212"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$37 million, or $(0.08) per basic and diluted share which included a $6 million non-cash gain for revaluation of warrant liabilities in connection with 2023 financing activities. This compares to a net loss of $27 million, or $(0.07) per basic and diluted share in Q2 2024, which included a $1 million non-cash expense for revaluation of warrant liabilities in connection with 2021 and 2023 financing activities.</w:t>
      </w:r>
    </w:p>
    <w:p>
      <w:pPr>
        <w:spacing w:after="0" w:line="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$6 million, or 14% of revenue, down from $12 million, or 28% of revenue, in Q2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earned 703 BTC at an average direct cost of production per BTC* of $36,000, compared to $30,600 in Q2 2024.</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cost of production per BTC* was $52,400 in Q3 2024, up from $47,300 in Q2 2024 due to higher energy cost, increased network difficulty and lower transaction fees.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of September 30, 2024, the Company had total liquidity** of $146 million, comprised of $73 million in cash and 1,147 BTC valued at $73 million based on a BTC price of $63,300 at September 30, 2024. As of October 31, 2024, the Company held 1,188 BTC.</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Q3 2024 and Recent Financing Activities</w:t>
      </w:r>
    </w:p>
    <w:p>
      <w:pPr>
        <w:spacing w:after="0" w:line="31" w:lineRule="exact"/>
        <w:rPr>
          <w:sz w:val="20"/>
          <w:szCs w:val="20"/>
          <w:color w:val="auto"/>
        </w:rPr>
      </w:pPr>
    </w:p>
    <w:p>
      <w:pPr>
        <w:ind w:left="660" w:hanging="328"/>
        <w:spacing w:after="0" w:line="250"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461 BTC at an average price of $60,600 for total proceeds of $28 million in Q3 2024 and sold 194 of the 236 BTC earned during October 2024, generating total proceeds of $13 million. A portion of the funds was used to pay capital expenditures.</w:t>
      </w:r>
    </w:p>
    <w:p>
      <w:pPr>
        <w:ind w:left="660" w:hanging="328"/>
        <w:spacing w:after="0" w:line="250"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41 BTC to treasury in October 2024 for a total of 1,188 BTC held in treasury, representing a total value of $84 million based on a $71,000 BTC price on October 31, 2024.</w:t>
      </w: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Synthetic HODL increased to 802 as of October 31, 2024 from 208 Bitcoin in Q2 2024, up 286%.</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$66 million in net proceeds during Q3 2024 bringing the total year-to-date net proceeds to $279 million through November 12th, 2024 through the Company’s 2024 at-the-market equity offering program.</w:t>
      </w:r>
    </w:p>
    <w:p>
      <w:pPr>
        <w:ind w:left="660" w:hanging="328"/>
        <w:spacing w:after="0" w:line="250"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Deposited a total of $15.6 million with Stronghold as of October 31, 2024, which is refundable on December 31, 2025, in connection with the two hosting agreements.</w:t>
      </w:r>
    </w:p>
    <w:p>
      <w:pPr>
        <w:ind w:left="660" w:hanging="328"/>
        <w:spacing w:after="0" w:line="260"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Collected the remaining $5 million balance of the Canadian sales tax recovery of the approximately $24 million total claims between February 5, 2022 and April 2024, for which the refund was confirmed by the provincial tax authorities in the second quarter of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Operating Performance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Q2 2024</w:t>
            </w: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Q3 2023</w:t>
            </w: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703</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w:t>
            </w:r>
          </w:p>
        </w:tc>
        <w:tc>
          <w:tcPr>
            <w:tcW w:w="3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461</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r>
      <w:tr>
        <w:trPr>
          <w:trHeight w:val="410"/>
        </w:trPr>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8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c>
          <w:tcPr>
            <w:tcW w:w="38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38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38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EH/s</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11.3</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310</w:t>
            </w:r>
          </w:p>
        </w:tc>
        <w:tc>
          <w:tcPr>
            <w:tcW w:w="3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3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256</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r>
      <w:tr>
        <w:trPr>
          <w:trHeight w:val="432"/>
        </w:trPr>
        <w:tc>
          <w:tcPr>
            <w:tcW w:w="5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Quarterly Average Revenue**** and Cost of Production per BTC*</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9"/>
        </w:trPr>
        <w:tc>
          <w:tcPr>
            <w:tcW w:w="38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Q3 2023</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Avg. Rev****/BTC</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60,900</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65,800</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52,400</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36,400</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 Cost*/BTC</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36,000</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30,600</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18,400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14,400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15,100</w:t>
            </w:r>
          </w:p>
        </w:tc>
      </w:tr>
      <w:tr>
        <w:trPr>
          <w:trHeight w:val="223"/>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Cost*/BTC</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52,400</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47,300</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27,900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23,200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20,800</w:t>
            </w:r>
          </w:p>
        </w:tc>
      </w:tr>
    </w:tbl>
    <w:p>
      <w:pPr>
        <w:spacing w:after="0" w:line="196" w:lineRule="exact"/>
        <w:rPr>
          <w:sz w:val="20"/>
          <w:szCs w:val="20"/>
          <w:color w:val="auto"/>
        </w:rPr>
      </w:pPr>
    </w:p>
    <w:p>
      <w:pPr>
        <w:jc w:val="both"/>
        <w:ind w:left="660" w:hanging="652"/>
        <w:spacing w:after="0" w:line="262" w:lineRule="auto"/>
        <w:tabs>
          <w:tab w:leader="none" w:pos="660" w:val="left"/>
        </w:tabs>
        <w:numPr>
          <w:ilvl w:val="0"/>
          <w:numId w:val="1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Gross mining profit, gross mining margin, EBITDA, EBITDA margin, Adjusted EBITDA, Adjusted EBITDA margin, Direct Cost per BTC and Total Cash Cost per BTC are non-IFRS financial measures or ratios and should be read in conjunction with, and should not be viewed as</w:t>
      </w:r>
    </w:p>
    <w:p>
      <w:pPr>
        <w:ind w:left="660"/>
        <w:spacing w:after="0" w:line="250" w:lineRule="auto"/>
        <w:rPr>
          <w:sz w:val="20"/>
          <w:szCs w:val="20"/>
          <w:color w:val="auto"/>
        </w:rPr>
      </w:pPr>
      <w:r>
        <w:rPr>
          <w:rFonts w:ascii="Times New Roman" w:cs="Times New Roman" w:eastAsia="Times New Roman" w:hAnsi="Times New Roman"/>
          <w:sz w:val="18"/>
          <w:szCs w:val="18"/>
          <w:i w:val="1"/>
          <w:iCs w:val="1"/>
          <w:color w:val="auto"/>
        </w:rPr>
        <w:t>alternatives to or replacements of measures of operating results and liquidity presented in accordance with IFRS. Readers are referred to the reconciliations of non-IFRS measures included in the Company’s MD&amp;A and at the end of this press release.</w:t>
      </w:r>
    </w:p>
    <w:p>
      <w:pPr>
        <w:spacing w:after="0" w:line="1" w:lineRule="exact"/>
        <w:rPr>
          <w:sz w:val="20"/>
          <w:szCs w:val="20"/>
          <w:color w:val="auto"/>
        </w:rPr>
      </w:pPr>
    </w:p>
    <w:p>
      <w:pPr>
        <w:ind w:left="660" w:hanging="652"/>
        <w:spacing w:after="0"/>
        <w:tabs>
          <w:tab w:leader="none" w:pos="660" w:val="left"/>
        </w:tabs>
        <w:numPr>
          <w:ilvl w:val="0"/>
          <w:numId w:val="1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Liquidity represents cash and balance of digital assets.</w:t>
      </w:r>
    </w:p>
    <w:p>
      <w:pPr>
        <w:spacing w:after="0" w:line="9"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watts represent the energy consumption of miners.</w:t>
      </w:r>
    </w:p>
    <w:p>
      <w:pPr>
        <w:spacing w:after="0" w:line="9"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revenue per BTC is for mining operations only and excludes Volta revenue.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will host a conference call today at 8:00 am EST. A presentation of the Q3 2024 results will be accessible before the call on the Investor website and can be accessed here.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live webcast and a webcast replay of the conference call can be accessed here. To access the call by telephone, register here to receive dial-in numbers and a unique PIN to join the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&amp;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Cantor Crypto, Digital Assets &amp; AI Infrastructure Conference (Miami)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19-20: ROTH Technology Conference (NYC)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Special Meeting of Bitfarms Shareholders (Virtual)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B. Riley Crypto &amp; Energy Infrastructure Conference (NYC)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Northland Growth Conference (Virtual)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14-15, 2025: Needham Growth Conference (NYC)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Canadian company, Bitfarms follows International Financial Reporting Standards (IFRS) which are issued by the International Accounting Standard Board (IASB). Under IFRS rules, the Company does not reflect the revaluation gains on the mark-to-market of its Bitcoin holdings in its income statement. It also does not include the revaluation losses on the mark-to-market of its Bitcoin holdings in Adjusted EBITDA, which is a measure of the cash profitability of its operations and does not reflect the change in value of its assets and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Adjusted EBITDA to measure its operating activities’ financial performance and cash generating capability.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Restatement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preparation of the Company’s financial statements for the year ended December 31, 2023, the Company reassessed the application of IFRS Accounting Standards on the accounting for warrants issued in connection with private placement financings conducted in 2021 and, as such, restated (the “Restatement”) its consolidated statements of financial position as of December 31, 2022 and January 1, 2022, its consolidated statements of profit or loss and comprehensive profit or loss for the year ended December 31, 2022, and the three and nine months ended September 30, 2024 and its consolidated statements of cash flows for the year ended December 31, 2022 and the nine months ended September 30, 2023, which were previously filed on SEDAR+ and EDGAR. For further details, consult Note 3e of the audited consolidated financial statements for the year ended December 31, 2023, and Note 3d of the interim condensed consolidated financial statements for the three and nine months ended September 30, 2024, available on SEDAR+ and EDGAR. As described in the interim MD&amp;A for three and nine months ended September 30, 2024, available on SEDAR+ and EDGAR, the Company is undertaking remediation efforts in light of the Restatement and in order to improve the overall effectiveness of its internal control over financial reporting for the accounting of complex financial instruments.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data center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and two under Hosting agreements, situated in four countries: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31" w:lineRule="exact"/>
        <w:rPr>
          <w:sz w:val="20"/>
          <w:szCs w:val="20"/>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Q/Q = Quarter over Quarter</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 Year over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Synthetic HODL™ = the use of instruments that create Bitcoin equivalent exposure</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impact of the hosting agreements, projected growth, target hashrate, opportunities relating to the Company’s geographical diversification and expansion, deployment of miners as well as the timing therefore, closing of the Stronghold acquisition on a timely basis and on the terms as announced, , the ability to gain access to additional electrical power and grow hashrate of the Stronghold business, performance of the plants and equipment upgrades and the impact on operating capacity including the target hashrate and multi-year expansion capacity, the opportunities to leverage Bitfarms’ proven expertise to successfully enhance energy efficiency and hashrate, and other statements regarding future growth, plans and objectives of the Company are forward-looking information.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receipt of the approval of the shareholders of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Stronghold acquisition;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nine months ended September 30, 2024 filed on November 13, 2024, and its registration statement on Form F-4 (File No. 333-282657) filed by Bitfarms with the SEC (the “registration statement”), which includes a proxy statement of Stronghold that also constitutes a prospectus of Bitfarms (the “proxy statement/prospectus”).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about the Merger and Where to Find It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communication relates to a proposed merger between Stronghold and Bitfarms. In connection with the proposed merger, Bitfarms has filed the registration statement with the SEC.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w:t>
      </w:r>
      <w:r>
        <w:rPr>
          <w:rFonts w:ascii="Times New Roman" w:cs="Times New Roman" w:eastAsia="Times New Roman" w:hAnsi="Times New Roman"/>
          <w:sz w:val="18"/>
          <w:szCs w:val="18"/>
          <w:b w:val="1"/>
          <w:bCs w:val="1"/>
          <w:i w:val="1"/>
          <w:iCs w:val="1"/>
          <w:color w:val="auto"/>
        </w:rPr>
        <w:t>Investors are urged to read the proxy statement/prospectus (including all amendments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supplements thereto) and other relevant documents filed with the SEC carefully and in their entirety if and when they become available because they will contain important information about the proposed merger and related matters.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Merger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is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56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Bitfarms Ltd. Consolidated Financial &amp; Operational Results</w:t>
            </w: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1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9"/>
                <w:szCs w:val="29"/>
                <w:color w:val="auto"/>
                <w:vertAlign w:val="superscript"/>
              </w:rPr>
              <w:t>(3)</w:t>
            </w: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9"/>
                <w:szCs w:val="29"/>
                <w:color w:val="auto"/>
                <w:vertAlign w:val="superscript"/>
              </w:rPr>
              <w:t>(3)</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34,596</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10,257</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100,125</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36,593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(43,462)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(123,384)</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(47,080)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1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(11,789)</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(8,866)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(33,746)</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(23,259)</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(10,487)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6"/>
        </w:trPr>
        <w:tc>
          <w:tcPr>
            <w:tcW w:w="250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(27,600)</w:t>
            </w: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(53,198)</w:t>
            </w: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18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(8,372)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230%</w:t>
            </w:r>
          </w:p>
        </w:tc>
        <w:tc>
          <w:tcPr>
            <w:tcW w:w="120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(25,887)</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(27,311)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8"/>
        </w:trPr>
        <w:tc>
          <w:tcPr>
            <w:tcW w:w="2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(Revaluation loss) reversal of</w:t>
            </w: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revaluation loss on digital</w:t>
            </w:r>
          </w:p>
        </w:tc>
        <w:tc>
          <w:tcPr>
            <w:tcW w:w="11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vMerge w:val="continue"/>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(1,183)</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1,183</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vMerge w:val="continue"/>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1,512</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(1,512)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disposition of</w:t>
            </w: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w:t>
            </w:r>
          </w:p>
        </w:tc>
        <w:tc>
          <w:tcPr>
            <w:tcW w:w="11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(875)</w:t>
            </w: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(606)</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equipment and deposits</w:t>
            </w:r>
          </w:p>
        </w:tc>
        <w:tc>
          <w:tcPr>
            <w:tcW w:w="118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303%</w:t>
            </w:r>
          </w:p>
        </w:tc>
        <w:tc>
          <w:tcPr>
            <w:tcW w:w="120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(1,776)</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8"/>
        </w:trPr>
        <w:tc>
          <w:tcPr>
            <w:tcW w:w="2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w:t>
            </w: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deposits, property,</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and equipment and</w:t>
            </w:r>
          </w:p>
        </w:tc>
        <w:tc>
          <w:tcPr>
            <w:tcW w:w="11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1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(9,982)</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6,354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(43,892)</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(18,638)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135%</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(91,178)</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(59,392)</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(31,786)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6"/>
        </w:trPr>
        <w:tc>
          <w:tcPr>
            <w:tcW w:w="250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(98)%</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(67)%</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7,241</w:t>
            </w: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2,532</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4,709</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186%</w:t>
            </w: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17,367</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12,492</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4,875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(36,651)</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(16,106)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128%</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(73,811)</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(46,900)</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(26,911)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1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(401)</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403</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4,583</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4,560</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(36,649)</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(16,507)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(20,142)</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(46,877)</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(22,351)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per share</w:t>
            </w:r>
          </w:p>
        </w:tc>
        <w:tc>
          <w:tcPr>
            <w:tcW w:w="11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(0.08)</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(0.17)</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 U.S. dollars)</w:t>
            </w:r>
          </w:p>
        </w:tc>
        <w:tc>
          <w:tcPr>
            <w:tcW w:w="1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(0.06)</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(0.19)</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5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revaluation surplus -</w:t>
            </w:r>
          </w:p>
        </w:tc>
        <w:tc>
          <w:tcPr>
            <w:tcW w:w="118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721</w:t>
            </w:r>
          </w:p>
        </w:tc>
        <w:tc>
          <w:tcPr>
            <w:tcW w:w="10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12,699</w:t>
            </w: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net of tax</w:t>
            </w: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(824)</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1,545</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188%</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1,567</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11,132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187"/>
        </w:trPr>
        <w:tc>
          <w:tcPr>
            <w:tcW w:w="25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net</w:t>
            </w: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(35,928)</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(17,331)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(18,597)</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107%</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(56,529)</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(45,310)</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(11,219)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5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16,699</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14,527</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2,172</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68,689</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44,823</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23,866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38%</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5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(2)</w:t>
            </w: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(9,836)</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5,999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(264)%</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38,563</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18,633</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19,930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(2)</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5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6,352</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8,883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41,424</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27,226</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14,198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64"/>
        </w:trPr>
        <w:tc>
          <w:tcPr>
            <w:tcW w:w="250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3" w:lineRule="exact"/>
        <w:rPr>
          <w:sz w:val="20"/>
          <w:szCs w:val="20"/>
          <w:color w:val="auto"/>
        </w:rPr>
      </w:pPr>
    </w:p>
    <w:p>
      <w:pPr>
        <w:ind w:left="340" w:hanging="332"/>
        <w:spacing w:after="0" w:line="196" w:lineRule="auto"/>
        <w:tabs>
          <w:tab w:leader="none" w:pos="340" w:val="left"/>
        </w:tabs>
        <w:numPr>
          <w:ilvl w:val="0"/>
          <w:numId w:val="17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Company’s MD&amp;A.</w:t>
      </w:r>
    </w:p>
    <w:p>
      <w:pPr>
        <w:spacing w:after="0" w:line="51" w:lineRule="exact"/>
        <w:rPr>
          <w:sz w:val="20"/>
          <w:szCs w:val="20"/>
          <w:color w:val="auto"/>
        </w:rPr>
      </w:pPr>
    </w:p>
    <w:p>
      <w:pPr>
        <w:ind w:left="340" w:hanging="332"/>
        <w:spacing w:after="0" w:line="195" w:lineRule="auto"/>
        <w:tabs>
          <w:tab w:leader="none" w:pos="340" w:val="left"/>
        </w:tabs>
        <w:numPr>
          <w:ilvl w:val="0"/>
          <w:numId w:val="18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Company’s </w:t>
      </w:r>
      <w:r>
        <w:rPr>
          <w:rFonts w:ascii="Times New Roman" w:cs="Times New Roman" w:eastAsia="Times New Roman" w:hAnsi="Times New Roman"/>
          <w:sz w:val="18"/>
          <w:szCs w:val="18"/>
          <w:i w:val="1"/>
          <w:iCs w:val="1"/>
          <w:color w:val="auto"/>
        </w:rPr>
        <w:t>MD&amp;A.</w:t>
      </w:r>
    </w:p>
    <w:p>
      <w:pPr>
        <w:spacing w:after="0" w:line="49" w:lineRule="exact"/>
        <w:rPr>
          <w:sz w:val="20"/>
          <w:szCs w:val="20"/>
          <w:color w:val="auto"/>
        </w:rPr>
      </w:pPr>
    </w:p>
    <w:p>
      <w:pPr>
        <w:ind w:left="340" w:right="20" w:hanging="332"/>
        <w:spacing w:after="0" w:line="196" w:lineRule="auto"/>
        <w:tabs>
          <w:tab w:leader="none" w:pos="340" w:val="left"/>
        </w:tabs>
        <w:numPr>
          <w:ilvl w:val="0"/>
          <w:numId w:val="18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the Q3 2024 interim financial statements Note 3d - </w:t>
      </w:r>
      <w:r>
        <w:rPr>
          <w:rFonts w:ascii="Times New Roman" w:cs="Times New Roman" w:eastAsia="Times New Roman" w:hAnsi="Times New Roman"/>
          <w:sz w:val="18"/>
          <w:szCs w:val="18"/>
          <w:i w:val="1"/>
          <w:iCs w:val="1"/>
          <w:color w:val="auto"/>
        </w:rPr>
        <w:t>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Material Accounting Policy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Restatement.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8"/>
        </w:trPr>
        <w:tc>
          <w:tcPr>
            <w:tcW w:w="10280" w:type="dxa"/>
            <w:vAlign w:val="bottom"/>
            <w:gridSpan w:val="8"/>
          </w:tcPr>
          <w:p>
            <w:pPr>
              <w:ind w:left="1820"/>
              <w:spacing w:after="0"/>
              <w:rPr>
                <w:sz w:val="20"/>
                <w:szCs w:val="20"/>
                <w:color w:val="auto"/>
              </w:rPr>
            </w:pPr>
            <w:r>
              <w:rPr>
                <w:rFonts w:ascii="Times New Roman" w:cs="Times New Roman" w:eastAsia="Times New Roman" w:hAnsi="Times New Roman"/>
                <w:sz w:val="18"/>
                <w:szCs w:val="18"/>
                <w:b w:val="1"/>
                <w:bCs w:val="1"/>
                <w:color w:val="auto"/>
              </w:rPr>
              <w:t>Bitfarms Ltd. Reconciliation of Consolidated Net Income (loss) to EBITDA and Adjusted EBITDA</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1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9"/>
                <w:szCs w:val="29"/>
                <w:color w:val="auto"/>
                <w:vertAlign w:val="superscript"/>
              </w:rPr>
              <w:t>(1)</w:t>
            </w:r>
          </w:p>
        </w:tc>
        <w:tc>
          <w:tcPr>
            <w:tcW w:w="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9"/>
                <w:szCs w:val="29"/>
                <w:color w:val="auto"/>
                <w:vertAlign w:val="superscript"/>
              </w:rPr>
              <w:t>(1)</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6"/>
              </w:rPr>
              <w:t>% Change</w:t>
            </w:r>
          </w:p>
        </w:tc>
        <w:tc>
          <w:tcPr>
            <w:tcW w:w="0" w:type="dxa"/>
            <w:vAlign w:val="bottom"/>
          </w:tcPr>
          <w:p>
            <w:pPr>
              <w:spacing w:after="0"/>
              <w:rPr>
                <w:sz w:val="1"/>
                <w:szCs w:val="1"/>
                <w:color w:val="auto"/>
              </w:rPr>
            </w:pPr>
          </w:p>
        </w:tc>
      </w:tr>
      <w:tr>
        <w:trPr>
          <w:trHeight w:val="209"/>
        </w:trPr>
        <w:tc>
          <w:tcPr>
            <w:tcW w:w="2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34,596</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10,257</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100,125</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36,593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(36,651)</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(16,106)</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(20,545)</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(73,811)</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(46,900)</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(26,911)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expense</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338</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(2,352)</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(696)%</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(4,009)</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2,538</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(6,547)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21,767</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7,062</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62,995</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62,148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w:t>
            </w:r>
          </w:p>
        </w:tc>
        <w:tc>
          <w:tcPr>
            <w:tcW w:w="11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and amortization</w:t>
            </w:r>
          </w:p>
        </w:tc>
        <w:tc>
          <w:tcPr>
            <w:tcW w:w="1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(8,760)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(9,836)</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5,999</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(15,835)</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(264)%</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38,563</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18,633</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19,930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5,159</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2,011</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3,148</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157%</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9,928</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7,009</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2,919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on short-term</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deposits, property,</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and equipment and</w:t>
            </w:r>
          </w:p>
        </w:tc>
        <w:tc>
          <w:tcPr>
            <w:tcW w:w="11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180" w:type="dxa"/>
            <w:vAlign w:val="bottom"/>
            <w:vMerge w:val="continue"/>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3,628</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vMerge w:val="continue"/>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9,982</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(6,354)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Revaluation loss (reversal of</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 loss) on digital</w:t>
            </w:r>
          </w:p>
        </w:tc>
        <w:tc>
          <w:tcPr>
            <w:tcW w:w="118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1,183</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(1,183)</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(1,512)</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w:t>
            </w:r>
          </w:p>
        </w:tc>
        <w:tc>
          <w:tcPr>
            <w:tcW w:w="11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debt and lease liabilities</w:t>
            </w:r>
          </w:p>
        </w:tc>
        <w:tc>
          <w:tcPr>
            <w:tcW w:w="1180" w:type="dxa"/>
            <w:vAlign w:val="bottom"/>
            <w:vMerge w:val="continue"/>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(12,835)</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12,835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loss revaluation of</w:t>
            </w:r>
          </w:p>
        </w:tc>
        <w:tc>
          <w:tcPr>
            <w:tcW w:w="11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(5,704)</w:t>
            </w:r>
          </w:p>
        </w:tc>
        <w:tc>
          <w:tcPr>
            <w:tcW w:w="1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(13,289)</w:t>
            </w: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(2,196)</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(3,508)</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214</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(13,503)</w:t>
            </w: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w:t>
            </w:r>
          </w:p>
        </w:tc>
        <w:tc>
          <w:tcPr>
            <w:tcW w:w="11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(780)</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(1,531)</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180" w:type="dxa"/>
            <w:vAlign w:val="bottom"/>
            <w:vMerge w:val="continue"/>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(4,120)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3,340</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1120" w:type="dxa"/>
            <w:vAlign w:val="bottom"/>
            <w:vMerge w:val="continue"/>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(11,246)</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9,715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Service fees not associated with</w:t>
            </w:r>
          </w:p>
        </w:tc>
        <w:tc>
          <w:tcPr>
            <w:tcW w:w="118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9,253</w:t>
            </w:r>
          </w:p>
        </w:tc>
        <w:tc>
          <w:tcPr>
            <w:tcW w:w="1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12,479</w:t>
            </w: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118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9,253</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12,479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and infrastructure and</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(16,081)</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(2)</w:t>
            </w:r>
          </w:p>
        </w:tc>
        <w:tc>
          <w:tcPr>
            <w:tcW w:w="1180" w:type="dxa"/>
            <w:vAlign w:val="bottom"/>
            <w:vMerge w:val="continue"/>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2,366</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(2,366)</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vMerge w:val="continue"/>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6,796</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(22,877)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2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 and other</w:t>
            </w:r>
          </w:p>
        </w:tc>
        <w:tc>
          <w:tcPr>
            <w:tcW w:w="1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4,632</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3,640</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992</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7,727</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10,185</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(2,458)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6,352</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8,883</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(2,531)</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41,424</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27,226</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14,198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3" w:lineRule="exact"/>
        <w:rPr>
          <w:sz w:val="20"/>
          <w:szCs w:val="20"/>
          <w:color w:val="auto"/>
        </w:rPr>
      </w:pPr>
    </w:p>
    <w:p>
      <w:pPr>
        <w:ind w:left="340" w:right="20" w:hanging="332"/>
        <w:spacing w:after="0" w:line="196" w:lineRule="auto"/>
        <w:tabs>
          <w:tab w:leader="none" w:pos="340" w:val="left"/>
        </w:tabs>
        <w:numPr>
          <w:ilvl w:val="0"/>
          <w:numId w:val="18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the Q2 2024 interim financial statements Note 3d - </w:t>
      </w:r>
      <w:r>
        <w:rPr>
          <w:rFonts w:ascii="Times New Roman" w:cs="Times New Roman" w:eastAsia="Times New Roman" w:hAnsi="Times New Roman"/>
          <w:sz w:val="18"/>
          <w:szCs w:val="18"/>
          <w:i w:val="1"/>
          <w:iCs w:val="1"/>
          <w:color w:val="auto"/>
        </w:rPr>
        <w:t>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Material Accounting Policy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Restatement.</w:t>
      </w:r>
    </w:p>
    <w:p>
      <w:pPr>
        <w:spacing w:after="0" w:line="51" w:lineRule="exact"/>
        <w:rPr>
          <w:sz w:val="20"/>
          <w:szCs w:val="20"/>
          <w:color w:val="auto"/>
        </w:rPr>
      </w:pPr>
    </w:p>
    <w:p>
      <w:pPr>
        <w:jc w:val="both"/>
        <w:ind w:left="340" w:hanging="332"/>
        <w:spacing w:after="0" w:line="210" w:lineRule="auto"/>
        <w:tabs>
          <w:tab w:leader="none" w:pos="340" w:val="left"/>
        </w:tabs>
        <w:numPr>
          <w:ilvl w:val="0"/>
          <w:numId w:val="18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the Q3 2024 interim financial statements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sales tax refund).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6660" w:type="dxa"/>
            <w:vAlign w:val="bottom"/>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Bitfarms Ltd. Calculation of Gross Mining Profit and Gross Mining Margin</w:t>
            </w: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(11,789)</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(8,866)</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(2,923)</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(33,746)</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(23,259)</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(10,487)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0"/>
        </w:trPr>
        <w:tc>
          <w:tcPr>
            <w:tcW w:w="254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Non-Mining revenues</w:t>
            </w:r>
            <w:r>
              <w:rPr>
                <w:rFonts w:ascii="Times New Roman" w:cs="Times New Roman" w:eastAsia="Times New Roman" w:hAnsi="Times New Roman"/>
                <w:sz w:val="28"/>
                <w:szCs w:val="28"/>
                <w:color w:val="auto"/>
                <w:vertAlign w:val="superscript"/>
              </w:rPr>
              <w:t>1</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(1,451)</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(1,697)</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246</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(3,510)</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(3,775)</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21,767</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7,062</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62,995</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62,148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w:t>
            </w:r>
          </w:p>
        </w:tc>
        <w:tc>
          <w:tcPr>
            <w:tcW w:w="1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amortization</w:t>
            </w:r>
          </w:p>
        </w:tc>
        <w:tc>
          <w:tcPr>
            <w:tcW w:w="1220" w:type="dxa"/>
            <w:vAlign w:val="bottom"/>
            <w:vMerge w:val="continue"/>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continue"/>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Electrical components and</w:t>
            </w:r>
          </w:p>
        </w:tc>
        <w:tc>
          <w:tcPr>
            <w:tcW w:w="12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1,097</w:t>
            </w: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2,678</w:t>
            </w: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w:t>
            </w:r>
          </w:p>
        </w:tc>
        <w:tc>
          <w:tcPr>
            <w:tcW w:w="122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1,299</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3,050</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1"/>
        </w:trPr>
        <w:tc>
          <w:tcPr>
            <w:tcW w:w="25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w:t>
            </w: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54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energy and infrastructure</w:t>
            </w:r>
            <w:r>
              <w:rPr>
                <w:rFonts w:ascii="Times New Roman" w:cs="Times New Roman" w:eastAsia="Times New Roman" w:hAnsi="Times New Roman"/>
                <w:sz w:val="29"/>
                <w:szCs w:val="29"/>
                <w:color w:val="auto"/>
                <w:vertAlign w:val="superscript"/>
              </w:rPr>
              <w:t>2</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2,138</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(2,138)</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6,155</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(20,493)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nm</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1,222</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(343)</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1,565</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16,699</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14,527</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2,172</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68,689</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44,823</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23,866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38%</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52%</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95" w:lineRule="exact"/>
        <w:rPr>
          <w:sz w:val="20"/>
          <w:szCs w:val="20"/>
          <w:color w:val="auto"/>
        </w:rPr>
      </w:pPr>
    </w:p>
    <w:p>
      <w:pPr>
        <w:ind w:left="340" w:hanging="332"/>
        <w:spacing w:after="0"/>
        <w:tabs>
          <w:tab w:leader="none" w:pos="34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Non-Mining revenues reconciliation: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2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2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0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44,853</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34,596</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10,257</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136,718</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100,125</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36,593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1"/>
        </w:trPr>
        <w:tc>
          <w:tcPr>
            <w:tcW w:w="2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Less Mining related revenues for</w:t>
            </w: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purpose of calculating gross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 margin:</w:t>
            </w: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20" w:type="dxa"/>
            <w:vAlign w:val="bottom"/>
            <w:tcBorders>
              <w:bottom w:val="single" w:sz="8" w:color="auto"/>
            </w:tcBorders>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Mining revenues</w:t>
            </w:r>
            <w:r>
              <w:rPr>
                <w:rFonts w:ascii="Times New Roman" w:cs="Times New Roman" w:eastAsia="Times New Roman" w:hAnsi="Times New Roman"/>
                <w:sz w:val="29"/>
                <w:szCs w:val="29"/>
                <w:color w:val="auto"/>
                <w:vertAlign w:val="superscript"/>
              </w:rPr>
              <w:t>3</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(43,402)</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(32,899)</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(10,503)</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(133,208)</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(96,350)</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(36,858)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7"/>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1,451</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1,697</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3,510</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3,775</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hanging="332"/>
        <w:spacing w:after="0" w:line="195" w:lineRule="auto"/>
        <w:tabs>
          <w:tab w:leader="none" w:pos="340" w:val="left"/>
        </w:tabs>
        <w:numPr>
          <w:ilvl w:val="0"/>
          <w:numId w:val="18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expenses has been allocated to their respective periods; refer to Q3 2024 interim financial statements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w:t>
      </w:r>
    </w:p>
    <w:p>
      <w:pPr>
        <w:spacing w:after="0" w:line="51"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8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Mining revenues include Revenues from sale of computational power used for hashing calculations and Revenue from computational power sold in exchange of services.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55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Bitfarms Ltd. Calculation of Direct Cost and Direct Cost per BTC</w:t>
            </w: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2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2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0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12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43,462</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13,180</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123,384</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47,080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(21,767)</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(7,062)</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(62,995)</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(62,148)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w:t>
            </w:r>
          </w:p>
        </w:tc>
        <w:tc>
          <w:tcPr>
            <w:tcW w:w="10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8,760</w:t>
            </w: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amortization</w:t>
            </w:r>
          </w:p>
        </w:tc>
        <w:tc>
          <w:tcPr>
            <w:tcW w:w="106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continue"/>
            <w:shd w:val="clear" w:color="auto" w:fill="CCEEFF"/>
          </w:tcPr>
          <w:p>
            <w:pPr>
              <w:spacing w:after="0"/>
              <w:rPr>
                <w:sz w:val="20"/>
                <w:szCs w:val="20"/>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(1,097)</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(1,299)</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(2,678)</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(3,050)</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(1,432)</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(832)</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(4,328)</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(2,303)</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1"/>
        </w:trPr>
        <w:tc>
          <w:tcPr>
            <w:tcW w:w="2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6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energy and infrastructure </w:t>
            </w:r>
            <w:r>
              <w:rPr>
                <w:rFonts w:ascii="Times New Roman" w:cs="Times New Roman" w:eastAsia="Times New Roman" w:hAnsi="Times New Roman"/>
                <w:sz w:val="29"/>
                <w:szCs w:val="29"/>
                <w:color w:val="auto"/>
                <w:vertAlign w:val="superscript"/>
              </w:rPr>
              <w:t>(1)</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(2,138)</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2,138</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(6,155)</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20,493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25,284</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17,658</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7,626</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61,413</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48,963</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12,450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703</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1,172</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2,260</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3,692</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7"/>
        </w:trPr>
        <w:tc>
          <w:tcPr>
            <w:tcW w:w="27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Direct Cost per BTC (in U.S.</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36,000</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15,100</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20,900</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27,200</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13,300</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13,900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760" w:type="dxa"/>
            <w:vAlign w:val="bottom"/>
          </w:tcPr>
          <w:p>
            <w:pPr>
              <w:spacing w:after="0"/>
              <w:rPr>
                <w:sz w:val="24"/>
                <w:szCs w:val="24"/>
                <w:color w:val="auto"/>
              </w:rPr>
            </w:pPr>
          </w:p>
        </w:tc>
        <w:tc>
          <w:tcPr>
            <w:tcW w:w="55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Bitfarms Ltd. Calculation of Total Cash Cost and Total Cost per BTC</w:t>
            </w: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7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2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2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0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12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56,642</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43,462</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13,180</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123,384</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47,080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4"/>
        </w:trPr>
        <w:tc>
          <w:tcPr>
            <w:tcW w:w="2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27,600</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8,372</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19,228</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53,198</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25,887</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27,311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84,242</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51,834</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32,408</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223,662</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149,271</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74,391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(28,829)</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(21,767)</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(7,062)</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(125,143)</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(62,995)</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(62,148)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Non-cash service expense </w:t>
            </w:r>
            <w:r>
              <w:rPr>
                <w:rFonts w:ascii="Times New Roman" w:cs="Times New Roman" w:eastAsia="Times New Roman" w:hAnsi="Times New Roman"/>
                <w:sz w:val="29"/>
                <w:szCs w:val="29"/>
                <w:color w:val="auto"/>
                <w:vertAlign w:val="superscript"/>
              </w:rPr>
              <w:t>(2)</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(564)</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(564)</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8,760</w:t>
            </w: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amortization</w:t>
            </w:r>
          </w:p>
        </w:tc>
        <w:tc>
          <w:tcPr>
            <w:tcW w:w="1060" w:type="dxa"/>
            <w:vAlign w:val="bottom"/>
            <w:vMerge w:val="continue"/>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continue"/>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(1,097)</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(1,299)</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(2,678)</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(3,050)</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(5,159)</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(2,011)</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(3,148)</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(9,928)</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(7,009)</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Service fees not associated with</w:t>
            </w:r>
          </w:p>
        </w:tc>
        <w:tc>
          <w:tcPr>
            <w:tcW w:w="10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(9,253)</w:t>
            </w:r>
          </w:p>
        </w:tc>
        <w:tc>
          <w:tcPr>
            <w:tcW w:w="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(12,479)</w:t>
            </w: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106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(9,253)</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vMerge w:val="continue"/>
            <w:shd w:val="clear" w:color="auto" w:fill="CCEEFF"/>
          </w:tcPr>
          <w:p>
            <w:pPr>
              <w:spacing w:after="0"/>
              <w:rPr>
                <w:sz w:val="20"/>
                <w:szCs w:val="20"/>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(12,479)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and infrastructure and</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76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9"/>
                <w:szCs w:val="29"/>
                <w:color w:val="auto"/>
                <w:vertAlign w:val="superscript"/>
              </w:rPr>
              <w:t>(1)</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(2,366)</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2,366</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16,081</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(6,796)</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22,877</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(2,500)</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(2,523)</w:t>
            </w:r>
          </w:p>
        </w:tc>
        <w:tc>
          <w:tcPr>
            <w:tcW w:w="12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nm</w:t>
            </w:r>
          </w:p>
        </w:tc>
        <w:tc>
          <w:tcPr>
            <w:tcW w:w="12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(5,659)</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510</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(6,169)</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09"/>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36,840</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24,414</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12,426</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92,052</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69,931</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22,121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703</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1,172</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2,260</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3,692</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7"/>
        </w:trPr>
        <w:tc>
          <w:tcPr>
            <w:tcW w:w="27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Cash Cost per BTC (in U.S.</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52,400</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20,800</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31,600</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40,700</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18,900</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21,800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5" w:lineRule="exact"/>
        <w:rPr>
          <w:sz w:val="20"/>
          <w:szCs w:val="20"/>
          <w:color w:val="auto"/>
        </w:rPr>
      </w:pPr>
    </w:p>
    <w:p>
      <w:pPr>
        <w:jc w:val="both"/>
        <w:ind w:left="340" w:hanging="332"/>
        <w:spacing w:after="0" w:line="210" w:lineRule="auto"/>
        <w:tabs>
          <w:tab w:leader="none" w:pos="340" w:val="left"/>
        </w:tabs>
        <w:numPr>
          <w:ilvl w:val="0"/>
          <w:numId w:val="18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Q3 2024 interim financial statements Note 23b - </w:t>
      </w:r>
      <w:r>
        <w:rPr>
          <w:rFonts w:ascii="Times New Roman" w:cs="Times New Roman" w:eastAsia="Times New Roman" w:hAnsi="Times New Roman"/>
          <w:sz w:val="18"/>
          <w:szCs w:val="18"/>
          <w:i w:val="1"/>
          <w:iCs w:val="1"/>
          <w:color w:val="auto"/>
        </w:rPr>
        <w:t>Additional Details to the Statement of Profit or Loss and Comprehensive Profit or Loss (Canadian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sales tax refund).</w:t>
      </w:r>
    </w:p>
    <w:p>
      <w:pPr>
        <w:spacing w:after="0" w:line="51" w:lineRule="exact"/>
        <w:rPr>
          <w:sz w:val="20"/>
          <w:szCs w:val="20"/>
          <w:color w:val="auto"/>
        </w:rPr>
      </w:pPr>
    </w:p>
    <w:p>
      <w:pPr>
        <w:ind w:left="5540" w:right="3240" w:hanging="5532"/>
        <w:spacing w:after="0" w:line="654" w:lineRule="auto"/>
        <w:tabs>
          <w:tab w:leader="none" w:pos="338" w:val="left"/>
        </w:tabs>
        <w:numPr>
          <w:ilvl w:val="0"/>
          <w:numId w:val="1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Non-cash service expense, included in infrastructure, which was exchanged for computational power sold.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1."/>
      <w:numFmt w:val="lowerLetter"/>
      <w:start w:val="1"/>
    </w:lvl>
  </w:abstractNum>
  <w:abstractNum w:abstractNumId="1">
    <w:nsid w:val="26F324BA"/>
    <w:multiLevelType w:val="hybridMultilevel"/>
    <w:lvl w:ilvl="0">
      <w:lvlJc w:val="left"/>
      <w:lvlText w:val="%1."/>
      <w:numFmt w:val="lowerLetter"/>
      <w:start w:val="2"/>
    </w:lvl>
  </w:abstractNum>
  <w:abstractNum w:abstractNumId="2">
    <w:nsid w:val="7F01579B"/>
    <w:multiLevelType w:val="hybridMultilevel"/>
    <w:lvl w:ilvl="0">
      <w:lvlJc w:val="left"/>
      <w:lvlText w:val="%1."/>
      <w:numFmt w:val="lowerLetter"/>
      <w:start w:val="3"/>
    </w:lvl>
  </w:abstractNum>
  <w:abstractNum w:abstractNumId="3">
    <w:nsid w:val="49DA307D"/>
    <w:multiLevelType w:val="hybridMultilevel"/>
    <w:lvl w:ilvl="0">
      <w:lvlJc w:val="left"/>
      <w:lvlText w:val="%1."/>
      <w:numFmt w:val="lowerLetter"/>
      <w:start w:val="3"/>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1."/>
      <w:numFmt w:val="lowerLetter"/>
      <w:start w:val="4"/>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1."/>
      <w:numFmt w:val="lowerLetter"/>
      <w:start w:val="1"/>
    </w:lvl>
  </w:abstractNum>
  <w:abstractNum w:abstractNumId="11">
    <w:nsid w:val="6FC75AF8"/>
    <w:multiLevelType w:val="hybridMultilevel"/>
    <w:lvl w:ilvl="0">
      <w:lvlJc w:val="left"/>
      <w:lvlText w:val="%1."/>
      <w:numFmt w:val="lowerRoman"/>
      <w:start w:val="1"/>
    </w:lvl>
  </w:abstractNum>
  <w:abstractNum w:abstractNumId="12">
    <w:nsid w:val="6A5F7029"/>
    <w:multiLevelType w:val="hybridMultilevel"/>
    <w:lvl w:ilvl="0">
      <w:lvlJc w:val="left"/>
      <w:lvlText w:val="%1."/>
      <w:numFmt w:val="lowerLetter"/>
      <w:start w:val="2"/>
    </w:lvl>
  </w:abstractNum>
  <w:abstractNum w:abstractNumId="13">
    <w:nsid w:val="7D5E18F8"/>
    <w:multiLevelType w:val="hybridMultilevel"/>
    <w:lvl w:ilvl="0">
      <w:lvlJc w:val="left"/>
      <w:lvlText w:val="%1."/>
      <w:numFmt w:val="lowerLetter"/>
      <w:start w:val="3"/>
    </w:lvl>
  </w:abstractNum>
  <w:abstractNum w:abstractNumId="14">
    <w:nsid w:val="5F3534A4"/>
    <w:multiLevelType w:val="hybridMultilevel"/>
    <w:lvl w:ilvl="0">
      <w:lvlJc w:val="left"/>
      <w:lvlText w:val="%1."/>
      <w:numFmt w:val="lowerRoman"/>
      <w:start w:val="1"/>
    </w:lvl>
  </w:abstractNum>
  <w:abstractNum w:abstractNumId="15">
    <w:nsid w:val="73A1821B"/>
    <w:multiLevelType w:val="hybridMultilevel"/>
    <w:lvl w:ilvl="0">
      <w:lvlJc w:val="left"/>
      <w:lvlText w:val="%1."/>
      <w:numFmt w:val="lowerRoman"/>
      <w:start w:val="2"/>
    </w:lvl>
  </w:abstractNum>
  <w:abstractNum w:abstractNumId="16">
    <w:nsid w:val="7DE67713"/>
    <w:multiLevelType w:val="hybridMultilevel"/>
    <w:lvl w:ilvl="0">
      <w:lvlJc w:val="left"/>
      <w:lvlText w:val="%1."/>
      <w:numFmt w:val="lowerRoman"/>
      <w:start w:val="1"/>
    </w:lvl>
  </w:abstractNum>
  <w:abstractNum w:abstractNumId="17">
    <w:nsid w:val="555C55B5"/>
    <w:multiLevelType w:val="hybridMultilevel"/>
    <w:lvl w:ilvl="0">
      <w:lvlJc w:val="left"/>
      <w:lvlText w:val="%1."/>
      <w:numFmt w:val="lowerRoman"/>
      <w:start w:val="2"/>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1."/>
      <w:numFmt w:val="lowerRoman"/>
      <w:start w:val="1"/>
    </w:lvl>
  </w:abstractNum>
  <w:abstractNum w:abstractNumId="21">
    <w:nsid w:val="71C91298"/>
    <w:multiLevelType w:val="hybridMultilevel"/>
    <w:lvl w:ilvl="0">
      <w:lvlJc w:val="left"/>
      <w:lvlText w:val="%1."/>
      <w:numFmt w:val="lowerRoman"/>
      <w:start w:val="2"/>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1."/>
      <w:numFmt w:val="lowerLetter"/>
      <w:start w:val="1"/>
    </w:lvl>
  </w:abstractNum>
  <w:abstractNum w:abstractNumId="26">
    <w:nsid w:val="1D545C4D"/>
    <w:multiLevelType w:val="hybridMultilevel"/>
    <w:lvl w:ilvl="0">
      <w:lvlJc w:val="left"/>
      <w:lvlText w:val="%1."/>
      <w:numFmt w:val="lowerLetter"/>
      <w:start w:val="2"/>
    </w:lvl>
  </w:abstractNum>
  <w:abstractNum w:abstractNumId="27">
    <w:nsid w:val="59ADEA3D"/>
    <w:multiLevelType w:val="hybridMultilevel"/>
    <w:lvl w:ilvl="0">
      <w:lvlJc w:val="left"/>
      <w:lvlText w:val="%1."/>
      <w:numFmt w:val="lowerRoman"/>
      <w:start w:val="1"/>
    </w:lvl>
  </w:abstractNum>
  <w:abstractNum w:abstractNumId="28">
    <w:nsid w:val="288F1A34"/>
    <w:multiLevelType w:val="hybridMultilevel"/>
    <w:lvl w:ilvl="0">
      <w:lvlJc w:val="left"/>
      <w:lvlText w:val="%1."/>
      <w:numFmt w:val="lowerRoman"/>
      <w:start w:val="2"/>
    </w:lvl>
  </w:abstractNum>
  <w:abstractNum w:abstractNumId="29">
    <w:nsid w:val="2A155DBC"/>
    <w:multiLevelType w:val="hybridMultilevel"/>
    <w:lvl w:ilvl="0">
      <w:lvlJc w:val="left"/>
      <w:lvlText w:val="%1."/>
      <w:numFmt w:val="lowerLetter"/>
      <w:start w:val="2"/>
    </w:lvl>
  </w:abstractNum>
  <w:abstractNum w:abstractNumId="30">
    <w:nsid w:val="1D9F6E5F"/>
    <w:multiLevelType w:val="hybridMultilevel"/>
    <w:lvl w:ilvl="0">
      <w:lvlJc w:val="left"/>
      <w:lvlText w:val="%1."/>
      <w:numFmt w:val="lowerRoman"/>
      <w:start w:val="3"/>
    </w:lvl>
  </w:abstractNum>
  <w:abstractNum w:abstractNumId="31">
    <w:nsid w:val="97E1B4E"/>
    <w:multiLevelType w:val="hybridMultilevel"/>
    <w:lvl w:ilvl="0">
      <w:lvlJc w:val="left"/>
      <w:lvlText w:val="%1."/>
      <w:numFmt w:val="lowerRoman"/>
      <w:start w:val="4"/>
    </w:lvl>
  </w:abstractNum>
  <w:abstractNum w:abstractNumId="32">
    <w:nsid w:val="51088277"/>
    <w:multiLevelType w:val="hybridMultilevel"/>
    <w:lvl w:ilvl="0">
      <w:lvlJc w:val="left"/>
      <w:lvlText w:val="%1."/>
      <w:numFmt w:val="lowerRoman"/>
      <w:start w:val="5"/>
    </w:lvl>
  </w:abstractNum>
  <w:abstractNum w:abstractNumId="33">
    <w:nsid w:val="1CA0C5FA"/>
    <w:multiLevelType w:val="hybridMultilevel"/>
    <w:lvl w:ilvl="0">
      <w:lvlJc w:val="left"/>
      <w:lvlText w:val="%1."/>
      <w:numFmt w:val="lowerLetter"/>
      <w:start w:val="3"/>
    </w:lvl>
  </w:abstractNum>
  <w:abstractNum w:abstractNumId="34">
    <w:nsid w:val="53584BCB"/>
    <w:multiLevelType w:val="hybridMultilevel"/>
    <w:lvl w:ilvl="0">
      <w:lvlJc w:val="left"/>
      <w:lvlText w:val="%1."/>
      <w:numFmt w:val="lowerLetter"/>
      <w:start w:val="4"/>
    </w:lvl>
  </w:abstractNum>
  <w:abstractNum w:abstractNumId="35">
    <w:nsid w:val="415E286C"/>
    <w:multiLevelType w:val="hybridMultilevel"/>
    <w:lvl w:ilvl="0">
      <w:lvlJc w:val="left"/>
      <w:lvlText w:val="%1."/>
      <w:numFmt w:val="lowerLetter"/>
      <w:start w:val="5"/>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1."/>
      <w:numFmt w:val="lowerLetter"/>
      <w:start w:val="1"/>
    </w:lvl>
  </w:abstractNum>
  <w:abstractNum w:abstractNumId="38">
    <w:nsid w:val="45E6D486"/>
    <w:multiLevelType w:val="hybridMultilevel"/>
    <w:lvl w:ilvl="0">
      <w:lvlJc w:val="left"/>
      <w:lvlText w:val="%1."/>
      <w:numFmt w:val="lowerLetter"/>
      <w:start w:val="2"/>
    </w:lvl>
  </w:abstractNum>
  <w:abstractNum w:abstractNumId="39">
    <w:nsid w:val="5C10FE21"/>
    <w:multiLevelType w:val="hybridMultilevel"/>
    <w:lvl w:ilvl="0">
      <w:lvlJc w:val="left"/>
      <w:lvlText w:val="%1."/>
      <w:numFmt w:val="lowerRoman"/>
      <w:start w:val="1"/>
    </w:lvl>
  </w:abstractNum>
  <w:abstractNum w:abstractNumId="40">
    <w:nsid w:val="E7FFA2B"/>
    <w:multiLevelType w:val="hybridMultilevel"/>
    <w:lvl w:ilvl="0">
      <w:lvlJc w:val="left"/>
      <w:lvlText w:val="%1."/>
      <w:numFmt w:val="lowerRoman"/>
      <w:start w:val="1"/>
    </w:lvl>
  </w:abstractNum>
  <w:abstractNum w:abstractNumId="41">
    <w:nsid w:val="3C5991AA"/>
    <w:multiLevelType w:val="hybridMultilevel"/>
    <w:lvl w:ilvl="0">
      <w:lvlJc w:val="left"/>
      <w:lvlText w:val="%1."/>
      <w:numFmt w:val="lowerRoman"/>
      <w:start w:val="2"/>
    </w:lvl>
  </w:abstractNum>
  <w:abstractNum w:abstractNumId="42">
    <w:nsid w:val="4BD8591A"/>
    <w:multiLevelType w:val="hybridMultilevel"/>
    <w:lvl w:ilvl="0">
      <w:lvlJc w:val="left"/>
      <w:lvlText w:val="%1."/>
      <w:numFmt w:val="lowerRoman"/>
      <w:start w:val="3"/>
    </w:lvl>
  </w:abstractNum>
  <w:abstractNum w:abstractNumId="43">
    <w:nsid w:val="78DF6A55"/>
    <w:multiLevelType w:val="hybridMultilevel"/>
    <w:lvl w:ilvl="0">
      <w:lvlJc w:val="left"/>
      <w:lvlText w:val="%1."/>
      <w:numFmt w:val="lowerRoman"/>
      <w:start w:val="4"/>
    </w:lvl>
  </w:abstractNum>
  <w:abstractNum w:abstractNumId="44">
    <w:nsid w:val="39B7AAA2"/>
    <w:multiLevelType w:val="hybridMultilevel"/>
    <w:lvl w:ilvl="0">
      <w:lvlJc w:val="left"/>
      <w:lvlText w:val="(%1)"/>
      <w:numFmt w:val="lowerLetter"/>
      <w:start w:val="2"/>
    </w:lvl>
  </w:abstractNum>
  <w:abstractNum w:abstractNumId="45">
    <w:nsid w:val="2B0D8DBE"/>
    <w:multiLevelType w:val="hybridMultilevel"/>
    <w:lvl w:ilvl="0">
      <w:lvlJc w:val="left"/>
      <w:lvlText w:val="%1."/>
      <w:numFmt w:val="lowerRoman"/>
      <w:start w:val="5"/>
    </w:lvl>
  </w:abstractNum>
  <w:abstractNum w:abstractNumId="46">
    <w:nsid w:val="6C80EC70"/>
    <w:multiLevelType w:val="hybridMultilevel"/>
    <w:lvl w:ilvl="0">
      <w:lvlJc w:val="left"/>
      <w:lvlText w:val="%1."/>
      <w:numFmt w:val="lowerLetter"/>
      <w:start w:val="1"/>
    </w:lvl>
  </w:abstractNum>
  <w:abstractNum w:abstractNumId="47">
    <w:nsid w:val="379E21B5"/>
    <w:multiLevelType w:val="hybridMultilevel"/>
    <w:lvl w:ilvl="0">
      <w:lvlJc w:val="left"/>
      <w:lvlText w:val="%1."/>
      <w:numFmt w:val="lowerLetter"/>
      <w:start w:val="2"/>
    </w:lvl>
  </w:abstractNum>
  <w:abstractNum w:abstractNumId="48">
    <w:nsid w:val="69E373"/>
    <w:multiLevelType w:val="hybridMultilevel"/>
    <w:lvl w:ilvl="0">
      <w:lvlJc w:val="left"/>
      <w:lvlText w:val="%1."/>
      <w:numFmt w:val="lowerLetter"/>
      <w:start w:val="3"/>
    </w:lvl>
  </w:abstractNum>
  <w:abstractNum w:abstractNumId="49">
    <w:nsid w:val="2C27173B"/>
    <w:multiLevelType w:val="hybridMultilevel"/>
    <w:lvl w:ilvl="0">
      <w:lvlJc w:val="left"/>
      <w:lvlText w:val="%1."/>
      <w:numFmt w:val="lowerLetter"/>
      <w:start w:val="4"/>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1"/>
      <w:numFmt w:val="bullet"/>
      <w:start w:val="1"/>
    </w:lvl>
  </w:abstractNum>
  <w:abstractNum w:abstractNumId="52">
    <w:nsid w:val="1DF029D3"/>
    <w:multiLevelType w:val="hybridMultilevel"/>
    <w:lvl w:ilvl="0">
      <w:lvlJc w:val="left"/>
      <w:lvlText w:val="3"/>
      <w:numFmt w:val="bullet"/>
      <w:start w:val="1"/>
    </w:lvl>
  </w:abstractNum>
  <w:abstractNum w:abstractNumId="53">
    <w:nsid w:val="5675FF36"/>
    <w:multiLevelType w:val="hybridMultilevel"/>
    <w:lvl w:ilvl="0">
      <w:lvlJc w:val="left"/>
      <w:lvlText w:val="1"/>
      <w:numFmt w:val="bullet"/>
      <w:start w:val="1"/>
    </w:lvl>
  </w:abstractNum>
  <w:abstractNum w:abstractNumId="54">
    <w:nsid w:val="3DD15094"/>
    <w:multiLevelType w:val="hybridMultilevel"/>
    <w:lvl w:ilvl="0">
      <w:lvlJc w:val="left"/>
      <w:lvlText w:val="2"/>
      <w:numFmt w:val="bullet"/>
      <w:start w:val="1"/>
    </w:lvl>
  </w:abstractNum>
  <w:abstractNum w:abstractNumId="55">
    <w:nsid w:val="3DB012B3"/>
    <w:multiLevelType w:val="hybridMultilevel"/>
    <w:lvl w:ilvl="0">
      <w:lvlJc w:val="left"/>
      <w:lvlText w:val="●"/>
      <w:numFmt w:val="bullet"/>
      <w:start w:val="1"/>
    </w:lvl>
  </w:abstractNum>
  <w:abstractNum w:abstractNumId="56">
    <w:nsid w:val="2708C9AF"/>
    <w:multiLevelType w:val="hybridMultilevel"/>
    <w:lvl w:ilvl="0">
      <w:lvlJc w:val="left"/>
      <w:lvlText w:val="●"/>
      <w:numFmt w:val="bullet"/>
      <w:start w:val="1"/>
    </w:lvl>
  </w:abstractNum>
  <w:abstractNum w:abstractNumId="57">
    <w:nsid w:val="5B25ACE2"/>
    <w:multiLevelType w:val="hybridMultilevel"/>
    <w:lvl w:ilvl="0">
      <w:lvlJc w:val="left"/>
      <w:lvlText w:val="●"/>
      <w:numFmt w:val="bullet"/>
      <w:start w:val="1"/>
    </w:lvl>
  </w:abstractNum>
  <w:abstractNum w:abstractNumId="58">
    <w:nsid w:val="175DFCF0"/>
    <w:multiLevelType w:val="hybridMultilevel"/>
    <w:lvl w:ilvl="0">
      <w:lvlJc w:val="left"/>
      <w:lvlText w:val="●"/>
      <w:numFmt w:val="bullet"/>
      <w:start w:val="1"/>
    </w:lvl>
  </w:abstractNum>
  <w:abstractNum w:abstractNumId="59">
    <w:nsid w:val="4F97E3E4"/>
    <w:multiLevelType w:val="hybridMultilevel"/>
    <w:lvl w:ilvl="0">
      <w:lvlJc w:val="left"/>
      <w:lvlText w:val="●"/>
      <w:numFmt w:val="bullet"/>
      <w:start w:val="1"/>
    </w:lvl>
  </w:abstractNum>
  <w:abstractNum w:abstractNumId="60">
    <w:nsid w:val="53B0A9E"/>
    <w:multiLevelType w:val="hybridMultilevel"/>
    <w:lvl w:ilvl="0">
      <w:lvlJc w:val="left"/>
      <w:lvlText w:val="1"/>
      <w:numFmt w:val="bullet"/>
      <w:start w:val="1"/>
    </w:lvl>
  </w:abstractNum>
  <w:abstractNum w:abstractNumId="61">
    <w:nsid w:val="34FD6B4F"/>
    <w:multiLevelType w:val="hybridMultilevel"/>
    <w:lvl w:ilvl="0">
      <w:lvlJc w:val="left"/>
      <w:lvlText w:val="2"/>
      <w:numFmt w:val="bullet"/>
      <w:start w:val="1"/>
    </w:lvl>
  </w:abstractNum>
  <w:abstractNum w:abstractNumId="62">
    <w:nsid w:val="5915FF32"/>
    <w:multiLevelType w:val="hybridMultilevel"/>
    <w:lvl w:ilvl="0">
      <w:lvlJc w:val="left"/>
      <w:lvlText w:val="●"/>
      <w:numFmt w:val="bullet"/>
      <w:start w:val="1"/>
    </w:lvl>
  </w:abstractNum>
  <w:abstractNum w:abstractNumId="63">
    <w:nsid w:val="56438D15"/>
    <w:multiLevelType w:val="hybridMultilevel"/>
    <w:lvl w:ilvl="0">
      <w:lvlJc w:val="left"/>
      <w:lvlText w:val="●"/>
      <w:numFmt w:val="bullet"/>
      <w:start w:val="1"/>
    </w:lvl>
  </w:abstractNum>
  <w:abstractNum w:abstractNumId="64">
    <w:nsid w:val="519E3149"/>
    <w:multiLevelType w:val="hybridMultilevel"/>
    <w:lvl w:ilvl="0">
      <w:lvlJc w:val="left"/>
      <w:lvlText w:val="%1."/>
      <w:numFmt w:val="decimal"/>
      <w:start w:val="5"/>
    </w:lvl>
  </w:abstractNum>
  <w:abstractNum w:abstractNumId="65">
    <w:nsid w:val="2C6E4AFD"/>
    <w:multiLevelType w:val="hybridMultilevel"/>
    <w:lvl w:ilvl="0">
      <w:lvlJc w:val="left"/>
      <w:lvlText w:val="*"/>
      <w:numFmt w:val="bullet"/>
      <w:start w:val="1"/>
    </w:lvl>
  </w:abstractNum>
  <w:abstractNum w:abstractNumId="66">
    <w:nsid w:val="17A1B582"/>
    <w:multiLevelType w:val="hybridMultilevel"/>
    <w:lvl w:ilvl="0">
      <w:lvlJc w:val="left"/>
      <w:lvlText w:val="●"/>
      <w:numFmt w:val="bullet"/>
      <w:start w:val="1"/>
    </w:lvl>
  </w:abstractNum>
  <w:abstractNum w:abstractNumId="67">
    <w:nsid w:val="4DF72E4E"/>
    <w:multiLevelType w:val="hybridMultilevel"/>
    <w:lvl w:ilvl="0">
      <w:lvlJc w:val="left"/>
      <w:lvlText w:val="●"/>
      <w:numFmt w:val="bullet"/>
      <w:start w:val="1"/>
    </w:lvl>
  </w:abstractNum>
  <w:abstractNum w:abstractNumId="68">
    <w:nsid w:val="5046B5A9"/>
    <w:multiLevelType w:val="hybridMultilevel"/>
    <w:lvl w:ilvl="0">
      <w:lvlJc w:val="left"/>
      <w:lvlText w:val="●"/>
      <w:numFmt w:val="bullet"/>
      <w:start w:val="1"/>
    </w:lvl>
  </w:abstractNum>
  <w:abstractNum w:abstractNumId="69">
    <w:nsid w:val="5D888A08"/>
    <w:multiLevelType w:val="hybridMultilevel"/>
    <w:lvl w:ilvl="0">
      <w:lvlJc w:val="left"/>
      <w:lvlText w:val="1"/>
      <w:numFmt w:val="bullet"/>
      <w:start w:val="1"/>
    </w:lvl>
  </w:abstractNum>
  <w:abstractNum w:abstractNumId="70">
    <w:nsid w:val="2A082C70"/>
    <w:multiLevelType w:val="hybridMultilevel"/>
    <w:lvl w:ilvl="0">
      <w:lvlJc w:val="left"/>
      <w:lvlText w:val="2"/>
      <w:numFmt w:val="bullet"/>
      <w:start w:val="1"/>
    </w:lvl>
  </w:abstractNum>
  <w:abstractNum w:abstractNumId="71">
    <w:nsid w:val="5EC6AFD4"/>
    <w:multiLevelType w:val="hybridMultilevel"/>
    <w:lvl w:ilvl="0">
      <w:lvlJc w:val="left"/>
      <w:lvlText w:val="%1."/>
      <w:numFmt w:val="upperLetter"/>
      <w:start w:val="1"/>
    </w:lvl>
  </w:abstractNum>
  <w:abstractNum w:abstractNumId="72">
    <w:nsid w:val="19E21BB2"/>
    <w:multiLevelType w:val="hybridMultilevel"/>
    <w:lvl w:ilvl="0">
      <w:lvlJc w:val="left"/>
      <w:lvlText w:val="%1."/>
      <w:numFmt w:val="upperLetter"/>
      <w:start w:val="1"/>
    </w:lvl>
  </w:abstractNum>
  <w:abstractNum w:abstractNumId="73">
    <w:nsid w:val="75E0858A"/>
    <w:multiLevelType w:val="hybridMultilevel"/>
    <w:lvl w:ilvl="0">
      <w:lvlJc w:val="left"/>
      <w:lvlText w:val="%1."/>
      <w:numFmt w:val="upperLetter"/>
      <w:start w:val="1"/>
    </w:lvl>
  </w:abstractNum>
  <w:abstractNum w:abstractNumId="74">
    <w:nsid w:val="57A61A29"/>
    <w:multiLevelType w:val="hybridMultilevel"/>
    <w:lvl w:ilvl="0">
      <w:lvlJc w:val="left"/>
      <w:lvlText w:val="%1."/>
      <w:numFmt w:val="upperLetter"/>
      <w:start w:val="2"/>
    </w:lvl>
  </w:abstractNum>
  <w:abstractNum w:abstractNumId="75">
    <w:nsid w:val="5399C654"/>
    <w:multiLevelType w:val="hybridMultilevel"/>
    <w:lvl w:ilvl="0">
      <w:lvlJc w:val="left"/>
      <w:lvlText w:val="%1."/>
      <w:numFmt w:val="upperLetter"/>
      <w:start w:val="2"/>
    </w:lvl>
  </w:abstractNum>
  <w:abstractNum w:abstractNumId="76">
    <w:nsid w:val="20EE1348"/>
    <w:multiLevelType w:val="hybridMultilevel"/>
    <w:lvl w:ilvl="0">
      <w:lvlJc w:val="left"/>
      <w:lvlText w:val="%1."/>
      <w:numFmt w:val="upperLetter"/>
      <w:start w:val="3"/>
    </w:lvl>
  </w:abstractNum>
  <w:abstractNum w:abstractNumId="77">
    <w:nsid w:val="4427069A"/>
    <w:multiLevelType w:val="hybridMultilevel"/>
    <w:lvl w:ilvl="0">
      <w:lvlJc w:val="left"/>
      <w:lvlText w:val="%1."/>
      <w:numFmt w:val="upperLetter"/>
      <w:start w:val="3"/>
    </w:lvl>
  </w:abstractNum>
  <w:abstractNum w:abstractNumId="78">
    <w:nsid w:val="B37E80A"/>
    <w:multiLevelType w:val="hybridMultilevel"/>
    <w:lvl w:ilvl="0">
      <w:lvlJc w:val="left"/>
      <w:lvlText w:val="%1."/>
      <w:numFmt w:val="decimal"/>
      <w:start w:val="7"/>
    </w:lvl>
  </w:abstractNum>
  <w:abstractNum w:abstractNumId="79">
    <w:nsid w:val="2157F6BC"/>
    <w:multiLevelType w:val="hybridMultilevel"/>
    <w:lvl w:ilvl="0">
      <w:lvlJc w:val="left"/>
      <w:lvlText w:val="1"/>
      <w:numFmt w:val="bullet"/>
      <w:start w:val="1"/>
    </w:lvl>
  </w:abstractNum>
  <w:abstractNum w:abstractNumId="80">
    <w:nsid w:val="704E1DD5"/>
    <w:multiLevelType w:val="hybridMultilevel"/>
    <w:lvl w:ilvl="0">
      <w:lvlJc w:val="left"/>
      <w:lvlText w:val="2"/>
      <w:numFmt w:val="bullet"/>
      <w:start w:val="1"/>
    </w:lvl>
  </w:abstractNum>
  <w:abstractNum w:abstractNumId="81">
    <w:nsid w:val="57D2F10E"/>
    <w:multiLevelType w:val="hybridMultilevel"/>
    <w:lvl w:ilvl="0">
      <w:lvlJc w:val="left"/>
      <w:lvlText w:val="3"/>
      <w:numFmt w:val="bullet"/>
      <w:start w:val="1"/>
    </w:lvl>
  </w:abstractNum>
  <w:abstractNum w:abstractNumId="82">
    <w:nsid w:val="BFFAE18"/>
    <w:multiLevelType w:val="hybridMultilevel"/>
    <w:lvl w:ilvl="0">
      <w:lvlJc w:val="left"/>
      <w:lvlText w:val="%1."/>
      <w:numFmt w:val="upperLetter"/>
      <w:start w:val="1"/>
    </w:lvl>
  </w:abstractNum>
  <w:abstractNum w:abstractNumId="83">
    <w:nsid w:val="E3E47A8"/>
    <w:multiLevelType w:val="hybridMultilevel"/>
    <w:lvl w:ilvl="0">
      <w:lvlJc w:val="left"/>
      <w:lvlText w:val="1"/>
      <w:numFmt w:val="bullet"/>
      <w:start w:val="1"/>
    </w:lvl>
  </w:abstractNum>
  <w:abstractNum w:abstractNumId="84">
    <w:nsid w:val="2E48F044"/>
    <w:multiLevelType w:val="hybridMultilevel"/>
    <w:lvl w:ilvl="0">
      <w:lvlJc w:val="left"/>
      <w:lvlText w:val="2"/>
      <w:numFmt w:val="bullet"/>
      <w:start w:val="1"/>
    </w:lvl>
  </w:abstractNum>
  <w:abstractNum w:abstractNumId="85">
    <w:nsid w:val="49D0FEAC"/>
    <w:multiLevelType w:val="hybridMultilevel"/>
    <w:lvl w:ilvl="0">
      <w:lvlJc w:val="left"/>
      <w:lvlText w:val="3"/>
      <w:numFmt w:val="bullet"/>
      <w:start w:val="1"/>
    </w:lvl>
  </w:abstractNum>
  <w:abstractNum w:abstractNumId="86">
    <w:nsid w:val="4BEE5A5B"/>
    <w:multiLevelType w:val="hybridMultilevel"/>
    <w:lvl w:ilvl="0">
      <w:lvlJc w:val="left"/>
      <w:lvlText w:val="4"/>
      <w:numFmt w:val="bullet"/>
      <w:start w:val="1"/>
    </w:lvl>
  </w:abstractNum>
  <w:abstractNum w:abstractNumId="87">
    <w:nsid w:val="5551B9F3"/>
    <w:multiLevelType w:val="hybridMultilevel"/>
    <w:lvl w:ilvl="0">
      <w:lvlJc w:val="left"/>
      <w:lvlText w:val="%1."/>
      <w:numFmt w:val="upperLetter"/>
      <w:start w:val="1"/>
    </w:lvl>
  </w:abstractNum>
  <w:abstractNum w:abstractNumId="88">
    <w:nsid w:val="24F6AB8E"/>
    <w:multiLevelType w:val="hybridMultilevel"/>
    <w:lvl w:ilvl="0">
      <w:lvlJc w:val="left"/>
      <w:lvlText w:val="%1."/>
      <w:numFmt w:val="upperLetter"/>
      <w:start w:val="1"/>
    </w:lvl>
  </w:abstractNum>
  <w:abstractNum w:abstractNumId="89">
    <w:nsid w:val="634C574C"/>
    <w:multiLevelType w:val="hybridMultilevel"/>
    <w:lvl w:ilvl="0">
      <w:lvlJc w:val="left"/>
      <w:lvlText w:val="1"/>
      <w:numFmt w:val="bullet"/>
      <w:start w:val="1"/>
    </w:lvl>
  </w:abstractNum>
  <w:abstractNum w:abstractNumId="90">
    <w:nsid w:val="24E99DD7"/>
    <w:multiLevelType w:val="hybridMultilevel"/>
    <w:lvl w:ilvl="0">
      <w:lvlJc w:val="left"/>
      <w:lvlText w:val="2"/>
      <w:numFmt w:val="bullet"/>
      <w:start w:val="1"/>
    </w:lvl>
  </w:abstractNum>
  <w:abstractNum w:abstractNumId="91">
    <w:nsid w:val="2A31B62D"/>
    <w:multiLevelType w:val="hybridMultilevel"/>
    <w:lvl w:ilvl="0">
      <w:lvlJc w:val="left"/>
      <w:lvlText w:val="3"/>
      <w:numFmt w:val="bullet"/>
      <w:start w:val="1"/>
    </w:lvl>
  </w:abstractNum>
  <w:abstractNum w:abstractNumId="92">
    <w:nsid w:val="1849C29B"/>
    <w:multiLevelType w:val="hybridMultilevel"/>
    <w:lvl w:ilvl="0">
      <w:lvlJc w:val="left"/>
      <w:lvlText w:val="4"/>
      <w:numFmt w:val="bullet"/>
      <w:start w:val="1"/>
    </w:lvl>
  </w:abstractNum>
  <w:abstractNum w:abstractNumId="93">
    <w:nsid w:val="7DFF9D09"/>
    <w:multiLevelType w:val="hybridMultilevel"/>
    <w:lvl w:ilvl="0">
      <w:lvlJc w:val="left"/>
      <w:lvlText w:val="%1."/>
      <w:numFmt w:val="upperLetter"/>
      <w:start w:val="1"/>
    </w:lvl>
  </w:abstractNum>
  <w:abstractNum w:abstractNumId="94">
    <w:nsid w:val="754342"/>
    <w:multiLevelType w:val="hybridMultilevel"/>
    <w:lvl w:ilvl="0">
      <w:lvlJc w:val="left"/>
      <w:lvlText w:val="●"/>
      <w:numFmt w:val="bullet"/>
      <w:start w:val="1"/>
    </w:lvl>
  </w:abstractNum>
  <w:abstractNum w:abstractNumId="95">
    <w:nsid w:val="69E7F3E5"/>
    <w:multiLevelType w:val="hybridMultilevel"/>
    <w:lvl w:ilvl="0">
      <w:lvlJc w:val="left"/>
      <w:lvlText w:val="●"/>
      <w:numFmt w:val="bullet"/>
      <w:start w:val="1"/>
    </w:lvl>
  </w:abstractNum>
  <w:abstractNum w:abstractNumId="96">
    <w:nsid w:val="2A6DE806"/>
    <w:multiLevelType w:val="hybridMultilevel"/>
    <w:lvl w:ilvl="0">
      <w:lvlJc w:val="left"/>
      <w:lvlText w:val="%1."/>
      <w:numFmt w:val="upperLetter"/>
      <w:start w:val="2"/>
    </w:lvl>
  </w:abstractNum>
  <w:abstractNum w:abstractNumId="97">
    <w:nsid w:val="1816F8C4"/>
    <w:multiLevelType w:val="hybridMultilevel"/>
    <w:lvl w:ilvl="0">
      <w:lvlJc w:val="left"/>
      <w:lvlText w:val="●"/>
      <w:numFmt w:val="bullet"/>
      <w:start w:val="1"/>
    </w:lvl>
  </w:abstractNum>
  <w:abstractNum w:abstractNumId="98">
    <w:nsid w:val="37DF2233"/>
    <w:multiLevelType w:val="hybridMultilevel"/>
    <w:lvl w:ilvl="0">
      <w:lvlJc w:val="left"/>
      <w:lvlText w:val="%1."/>
      <w:numFmt w:val="upperLetter"/>
      <w:start w:val="3"/>
    </w:lvl>
  </w:abstractNum>
  <w:abstractNum w:abstractNumId="99">
    <w:nsid w:val="7AB49DAF"/>
    <w:multiLevelType w:val="hybridMultilevel"/>
    <w:lvl w:ilvl="0">
      <w:lvlJc w:val="left"/>
      <w:lvlText w:val="●"/>
      <w:numFmt w:val="bullet"/>
      <w:start w:val="1"/>
    </w:lvl>
  </w:abstractNum>
  <w:abstractNum w:abstractNumId="100">
    <w:nsid w:val="759F82CD"/>
    <w:multiLevelType w:val="hybridMultilevel"/>
    <w:lvl w:ilvl="0">
      <w:lvlJc w:val="left"/>
      <w:lvlText w:val="%1."/>
      <w:numFmt w:val="upperLetter"/>
      <w:start w:val="3"/>
    </w:lvl>
  </w:abstractNum>
  <w:abstractNum w:abstractNumId="101">
    <w:nsid w:val="61E74EA3"/>
    <w:multiLevelType w:val="hybridMultilevel"/>
    <w:lvl w:ilvl="0">
      <w:lvlJc w:val="left"/>
      <w:lvlText w:val="●"/>
      <w:numFmt w:val="bullet"/>
      <w:start w:val="1"/>
    </w:lvl>
  </w:abstractNum>
  <w:abstractNum w:abstractNumId="102">
    <w:nsid w:val="597B4D84"/>
    <w:multiLevelType w:val="hybridMultilevel"/>
    <w:lvl w:ilvl="0">
      <w:lvlJc w:val="left"/>
      <w:lvlText w:val="●"/>
      <w:numFmt w:val="bullet"/>
      <w:start w:val="1"/>
    </w:lvl>
  </w:abstractNum>
  <w:abstractNum w:abstractNumId="103">
    <w:nsid w:val="F819E7F"/>
    <w:multiLevelType w:val="hybridMultilevel"/>
    <w:lvl w:ilvl="0">
      <w:lvlJc w:val="left"/>
      <w:lvlText w:val="●"/>
      <w:numFmt w:val="bullet"/>
      <w:start w:val="1"/>
    </w:lvl>
  </w:abstractNum>
  <w:abstractNum w:abstractNumId="104">
    <w:nsid w:val="57C7D42D"/>
    <w:multiLevelType w:val="hybridMultilevel"/>
    <w:lvl w:ilvl="0">
      <w:lvlJc w:val="left"/>
      <w:lvlText w:val="●"/>
      <w:numFmt w:val="bullet"/>
      <w:start w:val="1"/>
    </w:lvl>
  </w:abstractNum>
  <w:abstractNum w:abstractNumId="105">
    <w:nsid w:val="312167AD"/>
    <w:multiLevelType w:val="hybridMultilevel"/>
    <w:lvl w:ilvl="0">
      <w:lvlJc w:val="left"/>
      <w:lvlText w:val="1"/>
      <w:numFmt w:val="bullet"/>
      <w:start w:val="1"/>
    </w:lvl>
  </w:abstractNum>
  <w:abstractNum w:abstractNumId="106">
    <w:nsid w:val="631B64D4"/>
    <w:multiLevelType w:val="hybridMultilevel"/>
    <w:lvl w:ilvl="0">
      <w:lvlJc w:val="left"/>
      <w:lvlText w:val="%1."/>
      <w:numFmt w:val="upperLetter"/>
      <w:start w:val="4"/>
    </w:lvl>
  </w:abstractNum>
  <w:abstractNum w:abstractNumId="107">
    <w:nsid w:val="78B5E776"/>
    <w:multiLevelType w:val="hybridMultilevel"/>
    <w:lvl w:ilvl="0">
      <w:lvlJc w:val="left"/>
      <w:lvlText w:val="●"/>
      <w:numFmt w:val="bullet"/>
      <w:start w:val="1"/>
    </w:lvl>
  </w:abstractNum>
  <w:abstractNum w:abstractNumId="108">
    <w:nsid w:val="75486E47"/>
    <w:multiLevelType w:val="hybridMultilevel"/>
    <w:lvl w:ilvl="0">
      <w:lvlJc w:val="left"/>
      <w:lvlText w:val="●"/>
      <w:numFmt w:val="bullet"/>
      <w:start w:val="1"/>
    </w:lvl>
  </w:abstractNum>
  <w:abstractNum w:abstractNumId="109">
    <w:nsid w:val="6E534CDE"/>
    <w:multiLevelType w:val="hybridMultilevel"/>
    <w:lvl w:ilvl="0">
      <w:lvlJc w:val="left"/>
      <w:lvlText w:val="●"/>
      <w:numFmt w:val="bullet"/>
      <w:start w:val="1"/>
    </w:lvl>
    <w:lvl w:ilvl="1">
      <w:lvlJc w:val="left"/>
      <w:lvlText w:val="◦"/>
      <w:numFmt w:val="bullet"/>
      <w:start w:val="1"/>
    </w:lvl>
  </w:abstractNum>
  <w:abstractNum w:abstractNumId="110">
    <w:nsid w:val="1A0DDE32"/>
    <w:multiLevelType w:val="hybridMultilevel"/>
    <w:lvl w:ilvl="0">
      <w:lvlJc w:val="left"/>
      <w:lvlText w:val="1"/>
      <w:numFmt w:val="bullet"/>
      <w:start w:val="1"/>
    </w:lvl>
  </w:abstractNum>
  <w:abstractNum w:abstractNumId="111">
    <w:nsid w:val="65968C1C"/>
    <w:multiLevelType w:val="hybridMultilevel"/>
    <w:lvl w:ilvl="0">
      <w:lvlJc w:val="left"/>
      <w:lvlText w:val="2"/>
      <w:numFmt w:val="bullet"/>
      <w:start w:val="1"/>
    </w:lvl>
  </w:abstractNum>
  <w:abstractNum w:abstractNumId="112">
    <w:nsid w:val="46263DEC"/>
    <w:multiLevelType w:val="hybridMultilevel"/>
    <w:lvl w:ilvl="0">
      <w:lvlJc w:val="left"/>
      <w:lvlText w:val="-"/>
      <w:numFmt w:val="bullet"/>
      <w:start w:val="1"/>
    </w:lvl>
  </w:abstractNum>
  <w:abstractNum w:abstractNumId="113">
    <w:nsid w:val="260D8C4A"/>
    <w:multiLevelType w:val="hybridMultilevel"/>
    <w:lvl w:ilvl="0">
      <w:lvlJc w:val="left"/>
      <w:lvlText w:val="%1."/>
      <w:numFmt w:val="decimal"/>
      <w:start w:val="9"/>
    </w:lvl>
  </w:abstractNum>
  <w:abstractNum w:abstractNumId="114">
    <w:nsid w:val="73D4D3C4"/>
    <w:multiLevelType w:val="hybridMultilevel"/>
    <w:lvl w:ilvl="0">
      <w:lvlJc w:val="left"/>
      <w:lvlText w:val="%1."/>
      <w:numFmt w:val="upperLetter"/>
      <w:start w:val="1"/>
    </w:lvl>
  </w:abstractNum>
  <w:abstractNum w:abstractNumId="115">
    <w:nsid w:val="746F2E30"/>
    <w:multiLevelType w:val="hybridMultilevel"/>
    <w:lvl w:ilvl="0">
      <w:lvlJc w:val="left"/>
      <w:lvlText w:val="1"/>
      <w:numFmt w:val="bullet"/>
      <w:start w:val="1"/>
    </w:lvl>
  </w:abstractNum>
  <w:abstractNum w:abstractNumId="116">
    <w:nsid w:val="6FDE8AF6"/>
    <w:multiLevelType w:val="hybridMultilevel"/>
    <w:lvl w:ilvl="0">
      <w:lvlJc w:val="left"/>
      <w:lvlText w:val="2"/>
      <w:numFmt w:val="bullet"/>
      <w:start w:val="1"/>
    </w:lvl>
  </w:abstractNum>
  <w:abstractNum w:abstractNumId="117">
    <w:nsid w:val="3FC32E20"/>
    <w:multiLevelType w:val="hybridMultilevel"/>
    <w:lvl w:ilvl="0">
      <w:lvlJc w:val="left"/>
      <w:lvlText w:val="%1."/>
      <w:numFmt w:val="upperLetter"/>
      <w:start w:val="2"/>
    </w:lvl>
  </w:abstractNum>
  <w:abstractNum w:abstractNumId="118">
    <w:nsid w:val="49C0E823"/>
    <w:multiLevelType w:val="hybridMultilevel"/>
    <w:lvl w:ilvl="0">
      <w:lvlJc w:val="left"/>
      <w:lvlText w:val="(%1)"/>
      <w:numFmt w:val="decimal"/>
      <w:start w:val="2"/>
    </w:lvl>
  </w:abstractNum>
  <w:abstractNum w:abstractNumId="119">
    <w:nsid w:val="14D53685"/>
    <w:multiLevelType w:val="hybridMultilevel"/>
    <w:lvl w:ilvl="0">
      <w:lvlJc w:val="left"/>
      <w:lvlText w:val="%1."/>
      <w:numFmt w:val="upperLetter"/>
      <w:start w:val="3"/>
    </w:lvl>
  </w:abstractNum>
  <w:abstractNum w:abstractNumId="120">
    <w:nsid w:val="230F856C"/>
    <w:multiLevelType w:val="hybridMultilevel"/>
    <w:lvl w:ilvl="0">
      <w:lvlJc w:val="left"/>
      <w:lvlText w:val="%1."/>
      <w:numFmt w:val="upperLetter"/>
      <w:start w:val="4"/>
    </w:lvl>
  </w:abstractNum>
  <w:abstractNum w:abstractNumId="121">
    <w:nsid w:val="6EAA85FB"/>
    <w:multiLevelType w:val="hybridMultilevel"/>
    <w:lvl w:ilvl="0">
      <w:lvlJc w:val="left"/>
      <w:lvlText w:val="1"/>
      <w:numFmt w:val="bullet"/>
      <w:start w:val="1"/>
    </w:lvl>
  </w:abstractNum>
  <w:abstractNum w:abstractNumId="122">
    <w:nsid w:val="3F06ECB2"/>
    <w:multiLevelType w:val="hybridMultilevel"/>
    <w:lvl w:ilvl="0">
      <w:lvlJc w:val="left"/>
      <w:lvlText w:val="2"/>
      <w:numFmt w:val="bullet"/>
      <w:start w:val="1"/>
    </w:lvl>
  </w:abstractNum>
  <w:abstractNum w:abstractNumId="123">
    <w:nsid w:val="3B594807"/>
    <w:multiLevelType w:val="hybridMultilevel"/>
    <w:lvl w:ilvl="0">
      <w:lvlJc w:val="left"/>
      <w:lvlText w:val="●"/>
      <w:numFmt w:val="bullet"/>
      <w:start w:val="1"/>
    </w:lvl>
  </w:abstractNum>
  <w:abstractNum w:abstractNumId="124">
    <w:nsid w:val="6CAA2304"/>
    <w:multiLevelType w:val="hybridMultilevel"/>
    <w:lvl w:ilvl="0">
      <w:lvlJc w:val="left"/>
      <w:lvlText w:val="●"/>
      <w:numFmt w:val="bullet"/>
      <w:start w:val="1"/>
    </w:lvl>
  </w:abstractNum>
  <w:abstractNum w:abstractNumId="125">
    <w:nsid w:val="3F7C2FF4"/>
    <w:multiLevelType w:val="hybridMultilevel"/>
    <w:lvl w:ilvl="0">
      <w:lvlJc w:val="left"/>
      <w:lvlText w:val="●"/>
      <w:numFmt w:val="bullet"/>
      <w:start w:val="1"/>
    </w:lvl>
  </w:abstractNum>
  <w:abstractNum w:abstractNumId="126">
    <w:nsid w:val="25413BEC"/>
    <w:multiLevelType w:val="hybridMultilevel"/>
    <w:lvl w:ilvl="0">
      <w:lvlJc w:val="left"/>
      <w:lvlText w:val="●"/>
      <w:numFmt w:val="bullet"/>
      <w:start w:val="1"/>
    </w:lvl>
  </w:abstractNum>
  <w:abstractNum w:abstractNumId="127">
    <w:nsid w:val="17180B0B"/>
    <w:multiLevelType w:val="hybridMultilevel"/>
    <w:lvl w:ilvl="0">
      <w:lvlJc w:val="left"/>
      <w:lvlText w:val="%1."/>
      <w:numFmt w:val="upperLetter"/>
      <w:start w:val="1"/>
    </w:lvl>
  </w:abstractNum>
  <w:abstractNum w:abstractNumId="128">
    <w:nsid w:val="579328B9"/>
    <w:multiLevelType w:val="hybridMultilevel"/>
    <w:lvl w:ilvl="0">
      <w:lvlJc w:val="left"/>
      <w:lvlText w:val="●"/>
      <w:numFmt w:val="bullet"/>
      <w:start w:val="1"/>
    </w:lvl>
    <w:lvl w:ilvl="1">
      <w:lvlJc w:val="left"/>
      <w:lvlText w:val="◦"/>
      <w:numFmt w:val="bullet"/>
      <w:start w:val="1"/>
    </w:lvl>
  </w:abstractNum>
  <w:abstractNum w:abstractNumId="129">
    <w:nsid w:val="5D205E20"/>
    <w:multiLevelType w:val="hybridMultilevel"/>
    <w:lvl w:ilvl="0">
      <w:lvlJc w:val="left"/>
      <w:lvlText w:val="●"/>
      <w:numFmt w:val="bullet"/>
      <w:start w:val="1"/>
    </w:lvl>
    <w:lvl w:ilvl="1">
      <w:lvlJc w:val="left"/>
      <w:lvlText w:val="◦"/>
      <w:numFmt w:val="bullet"/>
      <w:start w:val="1"/>
    </w:lvl>
  </w:abstractNum>
  <w:abstractNum w:abstractNumId="130">
    <w:nsid w:val="11CCA8BA"/>
    <w:multiLevelType w:val="hybridMultilevel"/>
    <w:lvl w:ilvl="0">
      <w:lvlJc w:val="left"/>
      <w:lvlText w:val="%1."/>
      <w:numFmt w:val="upperLetter"/>
      <w:start w:val="1"/>
    </w:lvl>
  </w:abstractNum>
  <w:abstractNum w:abstractNumId="131">
    <w:nsid w:val="4D32AB86"/>
    <w:multiLevelType w:val="hybridMultilevel"/>
    <w:lvl w:ilvl="0">
      <w:lvlJc w:val="left"/>
      <w:lvlText w:val="%1."/>
      <w:numFmt w:val="upperLetter"/>
      <w:start w:val="2"/>
    </w:lvl>
  </w:abstractNum>
  <w:abstractNum w:abstractNumId="132">
    <w:nsid w:val="3F07ACC3"/>
    <w:multiLevelType w:val="hybridMultilevel"/>
    <w:lvl w:ilvl="0">
      <w:lvlJc w:val="left"/>
      <w:lvlText w:val="%1."/>
      <w:numFmt w:val="upperLetter"/>
      <w:start w:val="2"/>
    </w:lvl>
  </w:abstractNum>
  <w:abstractNum w:abstractNumId="133">
    <w:nsid w:val="6B47F63E"/>
    <w:multiLevelType w:val="hybridMultilevel"/>
    <w:lvl w:ilvl="0">
      <w:lvlJc w:val="left"/>
      <w:lvlText w:val="%1."/>
      <w:numFmt w:val="upperLetter"/>
      <w:start w:val="2"/>
    </w:lvl>
  </w:abstractNum>
  <w:abstractNum w:abstractNumId="134">
    <w:nsid w:val="5CB44A05"/>
    <w:multiLevelType w:val="hybridMultilevel"/>
    <w:lvl w:ilvl="0">
      <w:lvlJc w:val="left"/>
      <w:lvlText w:val="%1."/>
      <w:numFmt w:val="upperLetter"/>
      <w:start w:val="2"/>
    </w:lvl>
  </w:abstractNum>
  <w:abstractNum w:abstractNumId="135">
    <w:nsid w:val="16CF80F1"/>
    <w:multiLevelType w:val="hybridMultilevel"/>
    <w:lvl w:ilvl="0">
      <w:lvlJc w:val="left"/>
      <w:lvlText w:val="%1."/>
      <w:numFmt w:val="upperLetter"/>
      <w:start w:val="3"/>
    </w:lvl>
  </w:abstractNum>
  <w:abstractNum w:abstractNumId="136">
    <w:nsid w:val="1C695DEC"/>
    <w:multiLevelType w:val="hybridMultilevel"/>
    <w:lvl w:ilvl="0">
      <w:lvlJc w:val="left"/>
      <w:lvlText w:val="%1."/>
      <w:numFmt w:val="upperLetter"/>
      <w:start w:val="5"/>
    </w:lvl>
  </w:abstractNum>
  <w:abstractNum w:abstractNumId="137">
    <w:nsid w:val="3FCFAED9"/>
    <w:multiLevelType w:val="hybridMultilevel"/>
    <w:lvl w:ilvl="0">
      <w:lvlJc w:val="left"/>
      <w:lvlText w:val="%1."/>
      <w:numFmt w:val="upperLetter"/>
      <w:start w:val="1"/>
    </w:lvl>
  </w:abstractNum>
  <w:abstractNum w:abstractNumId="138">
    <w:nsid w:val="F856867"/>
    <w:multiLevelType w:val="hybridMultilevel"/>
    <w:lvl w:ilvl="0">
      <w:lvlJc w:val="left"/>
      <w:lvlText w:val="●"/>
      <w:numFmt w:val="bullet"/>
      <w:start w:val="1"/>
    </w:lvl>
  </w:abstractNum>
  <w:abstractNum w:abstractNumId="139">
    <w:nsid w:val="11B1CC33"/>
    <w:multiLevelType w:val="hybridMultilevel"/>
    <w:lvl w:ilvl="0">
      <w:lvlJc w:val="left"/>
      <w:lvlText w:val="●"/>
      <w:numFmt w:val="bullet"/>
      <w:start w:val="1"/>
    </w:lvl>
  </w:abstractNum>
  <w:abstractNum w:abstractNumId="140">
    <w:nsid w:val="2E22FBB7"/>
    <w:multiLevelType w:val="hybridMultilevel"/>
    <w:lvl w:ilvl="0">
      <w:lvlJc w:val="left"/>
      <w:lvlText w:val="1"/>
      <w:numFmt w:val="bullet"/>
      <w:start w:val="1"/>
    </w:lvl>
  </w:abstractNum>
  <w:abstractNum w:abstractNumId="141">
    <w:nsid w:val="29934699"/>
    <w:multiLevelType w:val="hybridMultilevel"/>
    <w:lvl w:ilvl="0">
      <w:lvlJc w:val="left"/>
      <w:lvlText w:val="●"/>
      <w:numFmt w:val="bullet"/>
      <w:start w:val="1"/>
    </w:lvl>
  </w:abstractNum>
  <w:abstractNum w:abstractNumId="142">
    <w:nsid w:val="77485850"/>
    <w:multiLevelType w:val="hybridMultilevel"/>
    <w:lvl w:ilvl="0">
      <w:lvlJc w:val="left"/>
      <w:lvlText w:val="●"/>
      <w:numFmt w:val="bullet"/>
      <w:start w:val="1"/>
    </w:lvl>
  </w:abstractNum>
  <w:abstractNum w:abstractNumId="143">
    <w:nsid w:val="744939A3"/>
    <w:multiLevelType w:val="hybridMultilevel"/>
    <w:lvl w:ilvl="0">
      <w:lvlJc w:val="left"/>
      <w:lvlText w:val="%1."/>
      <w:numFmt w:val="upperLetter"/>
      <w:start w:val="3"/>
    </w:lvl>
  </w:abstractNum>
  <w:abstractNum w:abstractNumId="144">
    <w:nsid w:val="4FA0D2E3"/>
    <w:multiLevelType w:val="hybridMultilevel"/>
    <w:lvl w:ilvl="0">
      <w:lvlJc w:val="left"/>
      <w:lvlText w:val="%1."/>
      <w:numFmt w:val="upperLetter"/>
      <w:start w:val="4"/>
    </w:lvl>
  </w:abstractNum>
  <w:abstractNum w:abstractNumId="145">
    <w:nsid w:val="6B1D2C14"/>
    <w:multiLevelType w:val="hybridMultilevel"/>
    <w:lvl w:ilvl="0">
      <w:lvlJc w:val="left"/>
      <w:lvlText w:val="1"/>
      <w:numFmt w:val="bullet"/>
      <w:start w:val="1"/>
    </w:lvl>
  </w:abstractNum>
  <w:abstractNum w:abstractNumId="146">
    <w:nsid w:val="68B867D3"/>
    <w:multiLevelType w:val="hybridMultilevel"/>
    <w:lvl w:ilvl="0">
      <w:lvlJc w:val="left"/>
      <w:lvlText w:val="2"/>
      <w:numFmt w:val="bullet"/>
      <w:start w:val="1"/>
    </w:lvl>
  </w:abstractNum>
  <w:abstractNum w:abstractNumId="147">
    <w:nsid w:val="3F7F5DD9"/>
    <w:multiLevelType w:val="hybridMultilevel"/>
    <w:lvl w:ilvl="0">
      <w:lvlJc w:val="left"/>
      <w:lvlText w:val="%1."/>
      <w:numFmt w:val="upperLetter"/>
      <w:start w:val="1"/>
    </w:lvl>
  </w:abstractNum>
  <w:abstractNum w:abstractNumId="148">
    <w:nsid w:val="2AE05A34"/>
    <w:multiLevelType w:val="hybridMultilevel"/>
    <w:lvl w:ilvl="0">
      <w:lvlJc w:val="left"/>
      <w:lvlText w:val="%1)"/>
      <w:numFmt w:val="lowerRoman"/>
      <w:start w:val="1"/>
    </w:lvl>
  </w:abstractNum>
  <w:abstractNum w:abstractNumId="149">
    <w:nsid w:val="32794FF7"/>
    <w:multiLevelType w:val="hybridMultilevel"/>
    <w:lvl w:ilvl="0">
      <w:lvlJc w:val="left"/>
      <w:lvlText w:val="%1."/>
      <w:numFmt w:val="upperLetter"/>
      <w:start w:val="2"/>
    </w:lvl>
  </w:abstractNum>
  <w:abstractNum w:abstractNumId="150">
    <w:nsid w:val="5454945E"/>
    <w:multiLevelType w:val="hybridMultilevel"/>
    <w:lvl w:ilvl="0">
      <w:lvlJc w:val="left"/>
      <w:lvlText w:val="%1."/>
      <w:numFmt w:val="upperLetter"/>
      <w:start w:val="2"/>
    </w:lvl>
  </w:abstractNum>
  <w:abstractNum w:abstractNumId="151">
    <w:nsid w:val="4DEFDFA0"/>
    <w:multiLevelType w:val="hybridMultilevel"/>
    <w:lvl w:ilvl="0">
      <w:lvlJc w:val="left"/>
      <w:lvlText w:val="%1."/>
      <w:numFmt w:val="upperLetter"/>
      <w:start w:val="3"/>
    </w:lvl>
  </w:abstractNum>
  <w:abstractNum w:abstractNumId="152">
    <w:nsid w:val="2123D5F2"/>
    <w:multiLevelType w:val="hybridMultilevel"/>
    <w:lvl w:ilvl="0">
      <w:lvlJc w:val="left"/>
      <w:lvlText w:val="%1."/>
      <w:numFmt w:val="upperLetter"/>
      <w:start w:val="4"/>
    </w:lvl>
  </w:abstractNum>
  <w:abstractNum w:abstractNumId="153">
    <w:nsid w:val="135B8110"/>
    <w:multiLevelType w:val="hybridMultilevel"/>
    <w:lvl w:ilvl="0">
      <w:lvlJc w:val="left"/>
      <w:lvlText w:val="%1."/>
      <w:numFmt w:val="upperLetter"/>
      <w:start w:val="1"/>
    </w:lvl>
  </w:abstractNum>
  <w:abstractNum w:abstractNumId="154">
    <w:nsid w:val="94927A8"/>
    <w:multiLevelType w:val="hybridMultilevel"/>
    <w:lvl w:ilvl="0">
      <w:lvlJc w:val="left"/>
      <w:lvlText w:val="%1."/>
      <w:numFmt w:val="upperLetter"/>
      <w:start w:val="2"/>
    </w:lvl>
  </w:abstractNum>
  <w:abstractNum w:abstractNumId="155">
    <w:nsid w:val="DCDF8F6"/>
    <w:multiLevelType w:val="hybridMultilevel"/>
    <w:lvl w:ilvl="0">
      <w:lvlJc w:val="left"/>
      <w:lvlText w:val="%1."/>
      <w:numFmt w:val="upperLetter"/>
      <w:start w:val="3"/>
    </w:lvl>
  </w:abstractNum>
  <w:abstractNum w:abstractNumId="156">
    <w:nsid w:val="52D7B105"/>
    <w:multiLevelType w:val="hybridMultilevel"/>
    <w:lvl w:ilvl="0">
      <w:lvlJc w:val="left"/>
      <w:lvlText w:val="%1."/>
      <w:numFmt w:val="upperLetter"/>
      <w:start w:val="4"/>
    </w:lvl>
  </w:abstractNum>
  <w:abstractNum w:abstractNumId="157">
    <w:nsid w:val="2E8A6394"/>
    <w:multiLevelType w:val="hybridMultilevel"/>
    <w:lvl w:ilvl="0">
      <w:lvlJc w:val="left"/>
      <w:lvlText w:val="(%1)"/>
      <w:numFmt w:val="lowerLetter"/>
      <w:start w:val="2"/>
    </w:lvl>
  </w:abstractNum>
  <w:abstractNum w:abstractNumId="158">
    <w:nsid w:val="24E60401"/>
    <w:multiLevelType w:val="hybridMultilevel"/>
    <w:lvl w:ilvl="0">
      <w:lvlJc w:val="left"/>
      <w:lvlText w:val="-"/>
      <w:numFmt w:val="bullet"/>
      <w:start w:val="1"/>
    </w:lvl>
  </w:abstractNum>
  <w:abstractNum w:abstractNumId="159">
    <w:nsid w:val="2A6AD9BE"/>
    <w:multiLevelType w:val="hybridMultilevel"/>
    <w:lvl w:ilvl="0">
      <w:lvlJc w:val="left"/>
      <w:lvlText w:val="●"/>
      <w:numFmt w:val="bullet"/>
      <w:start w:val="1"/>
    </w:lvl>
  </w:abstractNum>
  <w:abstractNum w:abstractNumId="160">
    <w:nsid w:val="BAAC1B4"/>
    <w:multiLevelType w:val="hybridMultilevel"/>
    <w:lvl w:ilvl="0">
      <w:lvlJc w:val="left"/>
      <w:lvlText w:val="●"/>
      <w:numFmt w:val="bullet"/>
      <w:start w:val="1"/>
    </w:lvl>
  </w:abstractNum>
  <w:abstractNum w:abstractNumId="161">
    <w:nsid w:val="36B2ACBC"/>
    <w:multiLevelType w:val="hybridMultilevel"/>
    <w:lvl w:ilvl="0">
      <w:lvlJc w:val="left"/>
      <w:lvlText w:val="%1."/>
      <w:numFmt w:val="decimal"/>
      <w:start w:val="22"/>
    </w:lvl>
    <w:lvl w:ilvl="1">
      <w:lvlJc w:val="left"/>
      <w:lvlText w:val="●"/>
      <w:numFmt w:val="bullet"/>
      <w:start w:val="1"/>
    </w:lvl>
  </w:abstractNum>
  <w:abstractNum w:abstractNumId="162">
    <w:nsid w:val="779D8544"/>
    <w:multiLevelType w:val="hybridMultilevel"/>
    <w:lvl w:ilvl="0">
      <w:lvlJc w:val="left"/>
      <w:lvlText w:val="-"/>
      <w:numFmt w:val="bullet"/>
      <w:start w:val="1"/>
    </w:lvl>
  </w:abstractNum>
  <w:abstractNum w:abstractNumId="163">
    <w:nsid w:val="4AB26E7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4">
    <w:nsid w:val="21FAA2FA"/>
    <w:multiLevelType w:val="hybridMultilevel"/>
    <w:lvl w:ilvl="0">
      <w:lvlJc w:val="left"/>
      <w:lvlText w:val="%1"/>
      <w:numFmt w:val="decimal"/>
      <w:start w:val="1"/>
    </w:lvl>
    <w:lvl w:ilvl="1">
      <w:lvlJc w:val="left"/>
      <w:lvlText w:val="(%2)"/>
      <w:numFmt w:val="lowerLetter"/>
      <w:start w:val="1"/>
    </w:lvl>
  </w:abstractNum>
  <w:abstractNum w:abstractNumId="165">
    <w:nsid w:val="5451CF49"/>
    <w:multiLevelType w:val="hybridMultilevel"/>
    <w:lvl w:ilvl="0">
      <w:lvlJc w:val="left"/>
      <w:lvlText w:val="%1."/>
      <w:numFmt w:val="decimal"/>
      <w:start w:val="6"/>
    </w:lvl>
    <w:lvl w:ilvl="1">
      <w:lvlJc w:val="left"/>
      <w:lvlText w:val="%2"/>
      <w:numFmt w:val="lowerLetter"/>
      <w:start w:val="1"/>
    </w:lvl>
  </w:abstractNum>
  <w:abstractNum w:abstractNumId="166">
    <w:nsid w:val="6181EF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7">
    <w:nsid w:val="3E6400E6"/>
    <w:multiLevelType w:val="hybridMultilevel"/>
    <w:lvl w:ilvl="0">
      <w:lvlJc w:val="left"/>
      <w:lvlText w:val="%1"/>
      <w:numFmt w:val="decimal"/>
      <w:start w:val="1"/>
    </w:lvl>
    <w:lvl w:ilvl="1">
      <w:lvlJc w:val="left"/>
      <w:lvlText w:val="(%2)"/>
      <w:numFmt w:val="lowerLetter"/>
      <w:start w:val="1"/>
    </w:lvl>
  </w:abstractNum>
  <w:abstractNum w:abstractNumId="168">
    <w:nsid w:val="14217E23"/>
    <w:multiLevelType w:val="hybridMultilevel"/>
    <w:lvl w:ilvl="0">
      <w:lvlJc w:val="left"/>
      <w:lvlText w:val="%1."/>
      <w:numFmt w:val="decimal"/>
      <w:start w:val="6"/>
    </w:lvl>
    <w:lvl w:ilvl="1">
      <w:lvlJc w:val="left"/>
      <w:lvlText w:val="%2"/>
      <w:numFmt w:val="lowerLetter"/>
      <w:start w:val="1"/>
    </w:lvl>
  </w:abstractNum>
  <w:abstractNum w:abstractNumId="169">
    <w:nsid w:val="710757D0"/>
    <w:multiLevelType w:val="hybridMultilevel"/>
    <w:lvl w:ilvl="0">
      <w:lvlJc w:val="left"/>
      <w:lvlText w:val="●"/>
      <w:numFmt w:val="bullet"/>
      <w:start w:val="1"/>
    </w:lvl>
    <w:lvl w:ilvl="1">
      <w:lvlJc w:val="left"/>
      <w:lvlText w:val="●"/>
      <w:numFmt w:val="bullet"/>
      <w:start w:val="1"/>
    </w:lvl>
  </w:abstractNum>
  <w:abstractNum w:abstractNumId="170">
    <w:nsid w:val="5015CD1A"/>
    <w:multiLevelType w:val="hybridMultilevel"/>
    <w:lvl w:ilvl="0">
      <w:lvlJc w:val="left"/>
      <w:lvlText w:val="●"/>
      <w:numFmt w:val="bullet"/>
      <w:start w:val="1"/>
    </w:lvl>
    <w:lvl w:ilvl="1">
      <w:lvlJc w:val="left"/>
      <w:lvlText w:val="●"/>
      <w:numFmt w:val="bullet"/>
      <w:start w:val="1"/>
    </w:lvl>
  </w:abstractNum>
  <w:abstractNum w:abstractNumId="171">
    <w:nsid w:val="424479DA"/>
    <w:multiLevelType w:val="hybridMultilevel"/>
    <w:lvl w:ilvl="0">
      <w:lvlJc w:val="left"/>
      <w:lvlText w:val="●"/>
      <w:numFmt w:val="bullet"/>
      <w:start w:val="1"/>
    </w:lvl>
  </w:abstractNum>
  <w:abstractNum w:abstractNumId="172">
    <w:nsid w:val="1A9A9E69"/>
    <w:multiLevelType w:val="hybridMultilevel"/>
    <w:lvl w:ilvl="0">
      <w:lvlJc w:val="left"/>
      <w:lvlText w:val="●"/>
      <w:numFmt w:val="bullet"/>
      <w:start w:val="1"/>
    </w:lvl>
  </w:abstractNum>
  <w:abstractNum w:abstractNumId="173">
    <w:nsid w:val="475E256A"/>
    <w:multiLevelType w:val="hybridMultilevel"/>
    <w:lvl w:ilvl="0">
      <w:lvlJc w:val="left"/>
      <w:lvlText w:val="*"/>
      <w:numFmt w:val="bullet"/>
      <w:start w:val="1"/>
    </w:lvl>
  </w:abstractNum>
  <w:abstractNum w:abstractNumId="174">
    <w:nsid w:val="368DB37E"/>
    <w:multiLevelType w:val="hybridMultilevel"/>
    <w:lvl w:ilvl="0">
      <w:lvlJc w:val="left"/>
      <w:lvlText w:val="**"/>
      <w:numFmt w:val="bullet"/>
      <w:start w:val="1"/>
    </w:lvl>
  </w:abstractNum>
  <w:abstractNum w:abstractNumId="175">
    <w:nsid w:val="6A3B714C"/>
    <w:multiLevelType w:val="hybridMultilevel"/>
    <w:lvl w:ilvl="0">
      <w:lvlJc w:val="left"/>
      <w:lvlText w:val="***"/>
      <w:numFmt w:val="bullet"/>
      <w:start w:val="1"/>
    </w:lvl>
  </w:abstractNum>
  <w:abstractNum w:abstractNumId="176">
    <w:nsid w:val="327B517E"/>
    <w:multiLevelType w:val="hybridMultilevel"/>
    <w:lvl w:ilvl="0">
      <w:lvlJc w:val="left"/>
      <w:lvlText w:val="****"/>
      <w:numFmt w:val="bullet"/>
      <w:start w:val="1"/>
    </w:lvl>
  </w:abstractNum>
  <w:abstractNum w:abstractNumId="177">
    <w:nsid w:val="1F461B51"/>
    <w:multiLevelType w:val="hybridMultilevel"/>
    <w:lvl w:ilvl="0">
      <w:lvlJc w:val="left"/>
      <w:lvlText w:val="●"/>
      <w:numFmt w:val="bullet"/>
      <w:start w:val="1"/>
    </w:lvl>
  </w:abstractNum>
  <w:abstractNum w:abstractNumId="178">
    <w:nsid w:val="29BACF25"/>
    <w:multiLevelType w:val="hybridMultilevel"/>
    <w:lvl w:ilvl="0">
      <w:lvlJc w:val="left"/>
      <w:lvlText w:val="1"/>
      <w:numFmt w:val="bullet"/>
      <w:start w:val="1"/>
    </w:lvl>
  </w:abstractNum>
  <w:abstractNum w:abstractNumId="179">
    <w:nsid w:val="5D5BABB3"/>
    <w:multiLevelType w:val="hybridMultilevel"/>
    <w:lvl w:ilvl="0">
      <w:lvlJc w:val="left"/>
      <w:lvlText w:val="2"/>
      <w:numFmt w:val="bullet"/>
      <w:start w:val="1"/>
    </w:lvl>
  </w:abstractNum>
  <w:abstractNum w:abstractNumId="180">
    <w:nsid w:val="51BF6B48"/>
    <w:multiLevelType w:val="hybridMultilevel"/>
    <w:lvl w:ilvl="0">
      <w:lvlJc w:val="left"/>
      <w:lvlText w:val="3"/>
      <w:numFmt w:val="bullet"/>
      <w:start w:val="1"/>
    </w:lvl>
  </w:abstractNum>
  <w:abstractNum w:abstractNumId="181">
    <w:nsid w:val="7E0F6384"/>
    <w:multiLevelType w:val="hybridMultilevel"/>
    <w:lvl w:ilvl="0">
      <w:lvlJc w:val="left"/>
      <w:lvlText w:val="1"/>
      <w:numFmt w:val="bullet"/>
      <w:start w:val="1"/>
    </w:lvl>
  </w:abstractNum>
  <w:abstractNum w:abstractNumId="182">
    <w:nsid w:val="2B4B8B53"/>
    <w:multiLevelType w:val="hybridMultilevel"/>
    <w:lvl w:ilvl="0">
      <w:lvlJc w:val="left"/>
      <w:lvlText w:val="2"/>
      <w:numFmt w:val="bullet"/>
      <w:start w:val="1"/>
    </w:lvl>
  </w:abstractNum>
  <w:abstractNum w:abstractNumId="183">
    <w:nsid w:val="72E3413A"/>
    <w:multiLevelType w:val="hybridMultilevel"/>
    <w:lvl w:ilvl="0">
      <w:lvlJc w:val="left"/>
      <w:lvlText w:val="(%1)"/>
      <w:numFmt w:val="decimal"/>
      <w:start w:val="1"/>
    </w:lvl>
  </w:abstractNum>
  <w:abstractNum w:abstractNumId="184">
    <w:nsid w:val="116AE494"/>
    <w:multiLevelType w:val="hybridMultilevel"/>
    <w:lvl w:ilvl="0">
      <w:lvlJc w:val="left"/>
      <w:lvlText w:val="(%1)"/>
      <w:numFmt w:val="decimal"/>
      <w:start w:val="2"/>
    </w:lvl>
  </w:abstractNum>
  <w:abstractNum w:abstractNumId="185">
    <w:nsid w:val="3494B2FB"/>
    <w:multiLevelType w:val="hybridMultilevel"/>
    <w:lvl w:ilvl="0">
      <w:lvlJc w:val="left"/>
      <w:lvlText w:val="1"/>
      <w:numFmt w:val="bullet"/>
      <w:start w:val="1"/>
    </w:lvl>
  </w:abstractNum>
  <w:abstractNum w:abstractNumId="186">
    <w:nsid w:val="B13A3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19" Type="http://schemas.openxmlformats.org/officeDocument/2006/relationships/hyperlink" Target="https://www.sec.gov/Archives/edgar/data/1812477/000121390024087834/ea0216025-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2024-11-13T06:17:08Z</dcterms:created>
  <dcterms:modified xsi:type="dcterms:W3CDTF">2024-11-13T06:17:08Z</dcterms:modified>
</cp:coreProperties>
</file>