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12, 2024, and June 13, 2024, the Registrant filed with the Canadian Securities Regulatory Authorities on the System for Electronic Data Analysis and Retrieval + (SEDAR +) material change reports that include copies of press releases, copies of which are attached hereto as Exhibit 99.1 and Exhibit 99.2, which are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760" w:type="dxa"/>
            <w:vAlign w:val="bottom"/>
          </w:tcPr>
          <w:p>
            <w:pPr>
              <w:spacing w:after="0"/>
              <w:rPr>
                <w:sz w:val="20"/>
                <w:szCs w:val="20"/>
                <w:color w:val="auto"/>
              </w:rPr>
            </w:pPr>
          </w:p>
        </w:tc>
      </w:tr>
      <w:tr>
        <w:trPr>
          <w:trHeight w:val="45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June 12, 2024</w:t>
            </w:r>
          </w:p>
        </w:tc>
        <w:tc>
          <w:tcPr>
            <w:tcW w:w="6760" w:type="dxa"/>
            <w:vAlign w:val="bottom"/>
            <w:tcBorders>
              <w:bottom w:val="single" w:sz="8" w:color="CCEEFF"/>
            </w:tcBorders>
            <w:shd w:val="clear" w:color="auto" w:fill="CCEEFF"/>
          </w:tcPr>
          <w:p>
            <w:pPr>
              <w:spacing w:after="0"/>
              <w:rPr>
                <w:sz w:val="17"/>
                <w:szCs w:val="17"/>
                <w:color w:val="auto"/>
              </w:rPr>
            </w:pPr>
          </w:p>
        </w:tc>
      </w:tr>
      <w:tr>
        <w:trPr>
          <w:trHeight w:val="176"/>
        </w:trPr>
        <w:tc>
          <w:tcPr>
            <w:tcW w:w="1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June 13, 2024</w:t>
            </w:r>
          </w:p>
        </w:tc>
        <w:tc>
          <w:tcPr>
            <w:tcW w:w="6760" w:type="dxa"/>
            <w:vAlign w:val="bottom"/>
          </w:tcPr>
          <w:p>
            <w:pPr>
              <w:spacing w:after="0"/>
              <w:rPr>
                <w:sz w:val="15"/>
                <w:szCs w:val="15"/>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13,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and Address of Company</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117"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12, 2024 by a newswire company in Canada.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June 12, 2024.</w:t>
            </w:r>
          </w:p>
        </w:tc>
        <w:tc>
          <w:tcPr>
            <w:tcW w:w="10140" w:type="dxa"/>
            <w:vAlign w:val="bottom"/>
          </w:tcPr>
          <w:p>
            <w:pPr>
              <w:spacing w:after="0"/>
              <w:rPr>
                <w:sz w:val="24"/>
                <w:szCs w:val="24"/>
                <w:color w:val="auto"/>
              </w:rPr>
            </w:pPr>
          </w:p>
        </w:tc>
      </w:tr>
      <w:tr>
        <w:trPr>
          <w:trHeight w:val="682"/>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40" w:right="620"/>
        <w:spacing w:after="0" w:line="287" w:lineRule="auto"/>
        <w:rPr>
          <w:sz w:val="20"/>
          <w:szCs w:val="20"/>
          <w:color w:val="auto"/>
        </w:rPr>
      </w:pPr>
      <w:r>
        <w:rPr>
          <w:rFonts w:ascii="Times New Roman" w:cs="Times New Roman" w:eastAsia="Times New Roman" w:hAnsi="Times New Roman"/>
          <w:sz w:val="25"/>
          <w:szCs w:val="25"/>
          <w:b w:val="1"/>
          <w:bCs w:val="1"/>
          <w:color w:val="auto"/>
        </w:rPr>
        <w:t>Bitfarms Issues Statement Regarding Riot Platforms’ Attempts to Disrupt Ongoing Strategic Alternatives Review Process</w:t>
      </w:r>
    </w:p>
    <w:p>
      <w:pPr>
        <w:spacing w:after="0" w:line="131" w:lineRule="exact"/>
        <w:rPr>
          <w:sz w:val="20"/>
          <w:szCs w:val="20"/>
          <w:color w:val="auto"/>
        </w:rPr>
      </w:pPr>
    </w:p>
    <w:p>
      <w:pPr>
        <w:ind w:left="2200" w:right="2200" w:firstLine="50"/>
        <w:spacing w:after="0" w:line="315"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Bitfarms Board of Directors Remains Committed to Maximizing Value for All Shareholders--Continues to Welcome Riot’s Participation in Ongoing Strategic Alternatives Review Process-</w:t>
      </w:r>
    </w:p>
    <w:p>
      <w:pPr>
        <w:spacing w:after="0" w:line="1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12, 2024) </w:t>
      </w:r>
      <w:r>
        <w:rPr>
          <w:rFonts w:ascii="Times New Roman" w:cs="Times New Roman" w:eastAsia="Times New Roman" w:hAnsi="Times New Roman"/>
          <w:sz w:val="18"/>
          <w:szCs w:val="18"/>
          <w:color w:val="auto"/>
        </w:rPr>
        <w:t>- Bitfarms Ltd. (Nasdaq/TSX: BITF) (the “Company” or “Bitfarms”), a global vertically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Bitcoin mining company, today issued the following statement in response to comments made by Riot Platforms, Inc. (Nasdaq: RIOT) (“Riot”):</w:t>
      </w:r>
    </w:p>
    <w:p>
      <w:pPr>
        <w:spacing w:after="0" w:line="207"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The Bitfarms Board of Directors and management team are committed to acting in the best interests of the Company and all of its shareholders. Following the receipt of multiple unsolicited expressions of interest from third parties, the Bitfarms Board formed a Special Committee comprised solely of independent directors to consider the unsolicited proposals, including an unsolicited proposal from Riot received on April 22, 2024. After carefully reviewing and evaluating Riot’s proposal, the Special Committee determined that the proposal significantly undervalues Bitfarms and is not in the best interest of shareholders.</w:t>
      </w:r>
    </w:p>
    <w:p>
      <w:pPr>
        <w:spacing w:after="0" w:line="183"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The Special Committee has welcomed Riot’s interest in the Company and participation in the ongoing Strategic Alternatives Review Process, including by agreeing to the standstill term proposed by Riot. Riot declined to participate in the process and instead has continued to acquire common shares of the Company in the open market in an attempt to undermine the integrity of the process and harm the interests of the Company. It is clear that Riot’s interests are not aligned with those of Bitfarms shareholders, and instead of participating in the Special Committee’s process in good faith, Riot is attacking Bitfarms’ Board and corporate governance in an effort to push its low-ball bid and disrupt the Strategic Alternatives Review Process.</w:t>
      </w:r>
    </w:p>
    <w:p>
      <w:pPr>
        <w:spacing w:after="0" w:line="183"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The Shareholder Rights Plan adopted by the Company on June 10, 2024, does not preclude Riot, or any other shareholder, from making an unsolicited take-over bid, nor making director nominations. Instead, it preserves the integrity of the Strategic Alternatives Review Process so the Special Committee can continue working towards value maximization for all shareholders. Riot’s comments make clear their frustration lies in no longer being able to tilt the scale towards their opportunistic non-binding offer, cloaked in vague concerns about corporate governance.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If Riot is passionate about corporate governance as it so purports, Riot should focus on its own Board. Indeed, the Riot Board’s corporate governance received a higher risk rating in governance from Institutional Shareholder Services and a 0.4 out of 10 in board accountability from Glass Lewis &amp; Co. Attacking Bitfarms’ governance is not only hypocritical, but it is a thinly veiled ploy to achieve Riot’s own self-serving agenda and attempt to acquire Bitfarms at a discounted price.</w:t>
      </w:r>
    </w:p>
    <w:p>
      <w:pPr>
        <w:spacing w:after="0" w:line="180"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The facts are clear: at all times, the Bitfarms Board and Special Committee have taken the right steps to deliver the best available outcome for all our shareholders. Conversely, Riot has not acted in good faith and has demonstrated that it wants to short circuit the Special Committee’s review and advance its inadequate proposal for Bitfarms. The Special Committee remains committed to the Strategic Alternatives Review Process and will continue to thoroughly evaluate all opportunities to maximize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Moelis &amp; Company LLC is serving as financial advisor to Bitfarms. Skadden, Arps, Slate, Meagher &amp; Flom LLP, Peterson McVicar LLP and McMillan LLP are acting as legal advisors.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delivery by the Bitfarms Board and Special Committee of the best available outcome for all shareholders, the progress or results of the Strategic Alternatives Review Process and the maximization or enhancement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conclude the Strategic Alternatives Review Process on a timely basis or at all;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MD&amp;A for the year-ended December 31, 2023, filed on March 7, 2024 and the MD&amp;A for three-month period ended March 31, 2024 filed on May 15,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and Address of Company</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117"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13, 2024 by a newswire company in Canada.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00" w:space="640"/>
            <w:col w:w="1010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June 13, 2024.</w:t>
            </w:r>
          </w:p>
        </w:tc>
        <w:tc>
          <w:tcPr>
            <w:tcW w:w="10140" w:type="dxa"/>
            <w:vAlign w:val="bottom"/>
          </w:tcPr>
          <w:p>
            <w:pPr>
              <w:spacing w:after="0"/>
              <w:rPr>
                <w:sz w:val="24"/>
                <w:szCs w:val="24"/>
                <w:color w:val="auto"/>
              </w:rPr>
            </w:pPr>
          </w:p>
        </w:tc>
      </w:tr>
      <w:tr>
        <w:trPr>
          <w:trHeight w:val="682"/>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Enters into Agreement to Develop 120 MW in U.S.; Provides 2025 Guidance of Over 35 EH/s</w:t>
      </w:r>
    </w:p>
    <w:p>
      <w:pPr>
        <w:spacing w:after="0" w:line="236" w:lineRule="exact"/>
        <w:rPr>
          <w:sz w:val="20"/>
          <w:szCs w:val="20"/>
          <w:color w:val="auto"/>
        </w:rPr>
      </w:pPr>
    </w:p>
    <w:p>
      <w:pPr>
        <w:jc w:val="center"/>
        <w:ind w:left="340" w:right="2040"/>
        <w:spacing w:after="0" w:line="261" w:lineRule="auto"/>
        <w:rPr>
          <w:sz w:val="20"/>
          <w:szCs w:val="20"/>
          <w:color w:val="auto"/>
        </w:rPr>
      </w:pPr>
      <w:r>
        <w:rPr>
          <w:rFonts w:ascii="Times New Roman" w:cs="Times New Roman" w:eastAsia="Times New Roman" w:hAnsi="Times New Roman"/>
          <w:sz w:val="18"/>
          <w:szCs w:val="18"/>
          <w:color w:val="auto"/>
        </w:rPr>
        <w:t>-First U.S. large scale site supports 8 EH/s in 2025 with deployment of 600 PH/s in 2024--Strategically located in PJM Interconnection market, providing access to low-cost, flexible power---Increases 2025 power capacity to 648 MW, up 170% from current 240 MW--Company establishes 2025 guidance of over 35 EH/s-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13, 2024) </w:t>
      </w:r>
      <w:r>
        <w:rPr>
          <w:rFonts w:ascii="Times New Roman" w:cs="Times New Roman" w:eastAsia="Times New Roman" w:hAnsi="Times New Roman"/>
          <w:sz w:val="18"/>
          <w:szCs w:val="18"/>
          <w:color w:val="auto"/>
        </w:rPr>
        <w:t>– Bitfarms Ltd. (Nasdaq/TSX: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an agreement to develop up to 120 MW of power capacity and lease a site in Sharon, Pennsylvania.</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Situated strategically within the Pennsylvania-New Jersey-Maryland Interconnection (PJM), the largest wholesale electricity market in the U.S., and located in a deregulated state, this site offers access to competitive electricity supply and provides the opportunity to optimize and hedge energy costs effectively. PJM enjoys an abundant energy supply that is rapidly adding renewable capacity and significantly contributing to the decarbonation of the grid. The power supply dynamics offer load flexibility suitable for Bitcoin mining, along with opportunities for participation in demand response and other curtailment programs, enabling Bitfarms to improve its corporate electricity price and further diversify its revenue streams.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“Executing on our strategy to cost-effectively expand our operating footprint in the U.S., we have entered into an agreement for flexible power trading within the PJM,” said Nicolas Bonta, Chairman and Interim CEO. “Leveraging our operational excellence and farm design expertise, we’re poised to optimize this site, facilitating efficient growth. This U.S. expansion not only strengthens our position in the industry but also enhances our geographical diversification. In addition, it raises our 2025 power capacity to 648 MW, 170% growth from current capacity and 47% growth from targeted year-end 2024 capacity. With the site’s ability to support 8 EH/s, alongside our recent acquisition of an additional 100 MW in Paraguay, we project 2025 guidance of over 35 EH/s. As additional opportunities in our pipeline come to fruition, we will update both our contracted power capacity and our 2025 EH/s target. We remain committed to pursuing similar strategic ventures aimed at delivering significant value to our shareholders,” concluded Mr. Bonta.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“This marks Bitfarms’ debut in a largely de-regulated and curtailment-friendly U.S. power market,” stated Ben Gagnon, Chief Mining Officer. “Bitfarms will actively monitor and manage our Bitcoin mining operations and participate in PJM’s demand response programs to earn additional revenue and provide reliability services to the grid. Providing a flexible base load for PJM to call upon in hours of need is a Bitcoin mining operations responsibility to the electric grid and community. We look forward to working with our power partners and the local community to facilitate uninterrupted service during periods of grid stress.”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Construction at the site will commence immediately following the closing, with development and build-out costs anticipated to be similar to recent deployments in Canada and Paraguay. This represents a significant growth opportunity for Bitfarms. The existing structure will be retrofitted with the expectation of bringing 12 MW online in Q4 2024 and the remaining load online in the second half of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Philippe Fortier, SVP of Corporate Development, stated, “We are confident that Sharon and other similar prospective PJM sites will provide long-term access to low-cost U.S. energy and flexible power trading options. Additionally, these locations boast milder temperatures and climates than Texas. Importantly, PJM’s rapid replacement of coal powered plants is among the largest contributors to the reduction of GHG in the U.S., rendering the opportunity both environmentally and economically sustainable. Given these significant advantages, we are actively engaged in assessing opportunities to expand our presence within the PJM region.”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Agreement</w:t>
      </w:r>
    </w:p>
    <w:p>
      <w:pPr>
        <w:spacing w:after="0" w:line="229"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development potential up to 120 MW of highly strategic and flexible power, 100% paid by the issuance of 1,532,745 Bitfarms common shares.</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Five-year lease in an industrialized area in Sharon, including a 11,200 square feet warehouse, with options to renew for a total of 17 years and purchase at fair market value throughout the lease term.</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capacity for 12 MW with development capacity up to 120 MW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merits of the Sharon Pennsylvania facility, the benefits of PJM,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jpe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19" Type="http://schemas.openxmlformats.org/officeDocument/2006/relationships/hyperlink" Target="http://www.sec.gov/Archives/edgar/data/1812477/000121390024021080/ea0201346-f10a4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2024-06-13T15:08:43Z</dcterms:created>
  <dcterms:modified xsi:type="dcterms:W3CDTF">2024-06-13T15:08:43Z</dcterms:modified>
</cp:coreProperties>
</file>