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 Yonge Street, Suite 1601, Toronto, Ontario, Canada M5C 1T4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583565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report on Form 6-K, includes the interim condensed consolidated financial statements for the three and nine months ended September 30, 2023, and management’s discussion and analysis for the three and nine months ended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79"/>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10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100" w:type="dxa"/>
            <w:vAlign w:val="bottom"/>
            <w:tcBorders>
              <w:top w:val="single" w:sz="8" w:color="auto"/>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9"/>
              </w:rPr>
              <w:t>Interim Condensed Consolidated Financial Statements for the three and nine months ended September 30, 2023.</w:t>
            </w:r>
          </w:p>
        </w:tc>
        <w:tc>
          <w:tcPr>
            <w:tcW w:w="20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Arial" w:cs="Arial" w:eastAsia="Arial" w:hAnsi="Arial"/>
                <w:sz w:val="18"/>
                <w:szCs w:val="18"/>
                <w:color w:val="0000EE"/>
              </w:rPr>
              <w:t>Management’s Discussion &amp; Analysis for the three and nine months ended September 30, 2023.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CEO Certification of Interim Filings - Interim Certificate dated November 7, 2023.</w:t>
            </w:r>
          </w:p>
        </w:tc>
      </w:tr>
      <w:tr>
        <w:trPr>
          <w:trHeight w:val="175"/>
        </w:trPr>
        <w:tc>
          <w:tcPr>
            <w:tcW w:w="102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99.4</w:t>
            </w:r>
          </w:p>
        </w:tc>
        <w:tc>
          <w:tcPr>
            <w:tcW w:w="120" w:type="dxa"/>
            <w:vAlign w:val="bottom"/>
            <w:tcBorders>
              <w:top w:val="single" w:sz="8" w:color="CCEEFF"/>
            </w:tcBorders>
          </w:tcPr>
          <w:p>
            <w:pPr>
              <w:spacing w:after="0"/>
              <w:rPr>
                <w:sz w:val="15"/>
                <w:szCs w:val="15"/>
                <w:color w:val="auto"/>
              </w:rPr>
            </w:pPr>
          </w:p>
        </w:tc>
        <w:tc>
          <w:tcPr>
            <w:tcW w:w="5980" w:type="dxa"/>
            <w:vAlign w:val="bottom"/>
            <w:tcBorders>
              <w:top w:val="single" w:sz="8" w:color="0000EE"/>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3"/>
              </w:rPr>
              <w:t>CFO Certification of Interim Filings - Interim Certificate dated November 7, 2023.</w:t>
            </w:r>
          </w:p>
        </w:tc>
        <w:tc>
          <w:tcPr>
            <w:tcW w:w="412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Material Change Report dated November 7, 2023.</w:t>
            </w:r>
          </w:p>
        </w:tc>
        <w:tc>
          <w:tcPr>
            <w:tcW w:w="6480" w:type="dxa"/>
            <w:vAlign w:val="bottom"/>
            <w:tcBorders>
              <w:bottom w:val="single" w:sz="8" w:color="CCEEFF"/>
            </w:tcBorders>
            <w:gridSpan w:val="4"/>
            <w:shd w:val="clear" w:color="auto" w:fill="CCEEFF"/>
          </w:tcPr>
          <w:p>
            <w:pPr>
              <w:spacing w:after="0"/>
              <w:rPr>
                <w:sz w:val="17"/>
                <w:szCs w:val="17"/>
                <w:color w:val="auto"/>
              </w:rPr>
            </w:pPr>
          </w:p>
        </w:tc>
      </w:tr>
      <w:tr>
        <w:trPr>
          <w:trHeight w:val="57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ind w:left="4440"/>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CONDENSED CONSOLIDATED FINANCIAL STATEMENTS</w:t>
      </w:r>
    </w:p>
    <w:p>
      <w:pPr>
        <w:spacing w:after="0" w:line="27" w:lineRule="exact"/>
        <w:rPr>
          <w:sz w:val="20"/>
          <w:szCs w:val="20"/>
          <w:color w:val="auto"/>
        </w:rPr>
      </w:pPr>
    </w:p>
    <w:p>
      <w:pPr>
        <w:ind w:right="4640"/>
        <w:spacing w:after="0" w:line="260" w:lineRule="auto"/>
        <w:rPr>
          <w:sz w:val="20"/>
          <w:szCs w:val="20"/>
          <w:color w:val="auto"/>
        </w:rPr>
      </w:pPr>
      <w:r>
        <w:rPr>
          <w:rFonts w:ascii="Arial" w:cs="Arial" w:eastAsia="Arial" w:hAnsi="Arial"/>
          <w:sz w:val="18"/>
          <w:szCs w:val="18"/>
          <w:b w:val="1"/>
          <w:bCs w:val="1"/>
          <w:color w:val="auto"/>
        </w:rPr>
        <w:t xml:space="preserve">FOR THE THREE AND NINE MONTHS ENDED SEPTEMBER 30, 2023 AND 2022 </w:t>
      </w: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2115820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30"/>
        </w:trPr>
        <w:tc>
          <w:tcPr>
            <w:tcW w:w="58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shd w:val="clear" w:color="auto" w:fill="CCEEFF"/>
          </w:tcPr>
          <w:p>
            <w:pPr>
              <w:spacing w:after="0"/>
              <w:rPr>
                <w:sz w:val="19"/>
                <w:szCs w:val="19"/>
                <w:color w:val="auto"/>
              </w:rPr>
            </w:pPr>
          </w:p>
        </w:tc>
      </w:tr>
      <w:tr>
        <w:trPr>
          <w:trHeight w:val="175"/>
        </w:trPr>
        <w:tc>
          <w:tcPr>
            <w:tcW w:w="580" w:type="dxa"/>
            <w:vAlign w:val="bottom"/>
          </w:tcPr>
          <w:p>
            <w:pPr>
              <w:spacing w:after="0"/>
              <w:rPr>
                <w:sz w:val="15"/>
                <w:szCs w:val="15"/>
                <w:color w:val="auto"/>
              </w:rPr>
            </w:pPr>
          </w:p>
        </w:tc>
        <w:tc>
          <w:tcPr>
            <w:tcW w:w="9760" w:type="dxa"/>
            <w:vAlign w:val="bottom"/>
            <w:gridSpan w:val="5"/>
          </w:tcPr>
          <w:p>
            <w:pPr>
              <w:spacing w:after="0" w:line="176" w:lineRule="exact"/>
              <w:rPr>
                <w:sz w:val="20"/>
                <w:szCs w:val="20"/>
                <w:color w:val="auto"/>
              </w:rPr>
            </w:pPr>
            <w:r>
              <w:rPr>
                <w:rFonts w:ascii="Arial" w:cs="Arial" w:eastAsia="Arial" w:hAnsi="Arial"/>
                <w:sz w:val="18"/>
                <w:szCs w:val="18"/>
                <w:color w:val="0000EE"/>
              </w:rPr>
              <w:t>Interim Consolidated Statements of Financial Position</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Statements of Profit or Loss and Comprehensive Profit or Loss</w:t>
            </w:r>
          </w:p>
        </w:tc>
        <w:tc>
          <w:tcPr>
            <w:tcW w:w="3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176"/>
        </w:trPr>
        <w:tc>
          <w:tcPr>
            <w:tcW w:w="580" w:type="dxa"/>
            <w:vAlign w:val="bottom"/>
          </w:tcPr>
          <w:p>
            <w:pPr>
              <w:spacing w:after="0"/>
              <w:rPr>
                <w:sz w:val="15"/>
                <w:szCs w:val="15"/>
                <w:color w:val="auto"/>
              </w:rPr>
            </w:pPr>
          </w:p>
        </w:tc>
        <w:tc>
          <w:tcPr>
            <w:tcW w:w="9760" w:type="dxa"/>
            <w:vAlign w:val="bottom"/>
            <w:gridSpan w:val="5"/>
          </w:tcPr>
          <w:p>
            <w:pPr>
              <w:spacing w:after="0" w:line="176" w:lineRule="exact"/>
              <w:rPr>
                <w:sz w:val="20"/>
                <w:szCs w:val="20"/>
                <w:color w:val="auto"/>
              </w:rPr>
            </w:pPr>
            <w:r>
              <w:rPr>
                <w:rFonts w:ascii="Arial" w:cs="Arial" w:eastAsia="Arial" w:hAnsi="Arial"/>
                <w:sz w:val="18"/>
                <w:szCs w:val="18"/>
                <w:color w:val="0000EE"/>
              </w:rPr>
              <w:t>Interim Consolidated Statements of Changes in Equity</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rPr>
                <w:sz w:val="15"/>
                <w:szCs w:val="15"/>
                <w:color w:val="auto"/>
              </w:rPr>
            </w:pPr>
          </w:p>
        </w:tc>
        <w:tc>
          <w:tcPr>
            <w:tcW w:w="97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Interim Consolidated Statements of Cash Flows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10120" w:type="dxa"/>
            <w:vAlign w:val="bottom"/>
            <w:tcBorders>
              <w:right w:val="single" w:sz="8" w:color="CCEEFF"/>
            </w:tcBorders>
            <w:gridSpan w:val="24"/>
            <w:shd w:val="clear" w:color="auto" w:fill="CCEEFF"/>
          </w:tcPr>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tc>
        <w:tc>
          <w:tcPr>
            <w:tcW w:w="540" w:type="dxa"/>
            <w:vAlign w:val="bottom"/>
            <w:shd w:val="clear" w:color="auto" w:fill="CCEEFF"/>
          </w:tcPr>
          <w:p>
            <w:pPr>
              <w:spacing w:after="0"/>
              <w:rPr>
                <w:sz w:val="18"/>
                <w:szCs w:val="18"/>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1.</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Nature of Operations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99"/>
              </w:rPr>
              <w:t>7</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w:t>
            </w:r>
          </w:p>
        </w:tc>
        <w:tc>
          <w:tcPr>
            <w:tcW w:w="10120" w:type="dxa"/>
            <w:vAlign w:val="bottom"/>
            <w:tcBorders>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rPr>
              <w:t>Liquidity</w:t>
            </w:r>
          </w:p>
        </w:tc>
        <w:tc>
          <w:tcPr>
            <w:tcW w:w="540" w:type="dxa"/>
            <w:vAlign w:val="bottom"/>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99"/>
              </w:rPr>
              <w:t>8</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3.</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Basis of Presentation and Significant Accounting Policies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99"/>
              </w:rPr>
              <w:t>9</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35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0"/>
              </w:rPr>
              <w:t>Significant Accounting Judgments and Estimates</w:t>
            </w:r>
          </w:p>
        </w:tc>
        <w:tc>
          <w:tcPr>
            <w:tcW w:w="658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5.</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Acquisitions of Assets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6.</w:t>
            </w:r>
          </w:p>
        </w:tc>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6"/>
              </w:rPr>
              <w:t>Other Assets</w:t>
            </w:r>
          </w:p>
        </w:tc>
        <w:tc>
          <w:tcPr>
            <w:tcW w:w="920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12</w:t>
            </w: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7.</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Digital Assets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8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Impairment</w:t>
            </w:r>
          </w:p>
        </w:tc>
        <w:tc>
          <w:tcPr>
            <w:tcW w:w="9280" w:type="dxa"/>
            <w:vAlign w:val="bottom"/>
            <w:tcBorders>
              <w:bottom w:val="single" w:sz="8" w:color="CCEEFF"/>
              <w:right w:val="single" w:sz="8" w:color="CCEEFF"/>
            </w:tcBorders>
            <w:gridSpan w:val="21"/>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9.</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Property, Plant and Equipment</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124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8"/>
              </w:rPr>
              <w:t>Intangible Assets</w:t>
            </w:r>
          </w:p>
        </w:tc>
        <w:tc>
          <w:tcPr>
            <w:tcW w:w="888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17</w:t>
            </w: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11.</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Long-term Deposits, Equipment Prepayments, Commitments and Other</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10120" w:type="dxa"/>
            <w:vAlign w:val="bottom"/>
            <w:tcBorders>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rPr>
              <w:t>Trade Payables and Accrued Liabilities</w:t>
            </w:r>
          </w:p>
        </w:tc>
        <w:tc>
          <w:tcPr>
            <w:tcW w:w="540" w:type="dxa"/>
            <w:vAlign w:val="bottom"/>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18</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13.</w:t>
            </w:r>
          </w:p>
        </w:tc>
        <w:tc>
          <w:tcPr>
            <w:tcW w:w="282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8"/>
                <w:szCs w:val="18"/>
                <w:color w:val="0000EE"/>
              </w:rPr>
              <w:t>Long-term Debt</w:t>
            </w:r>
          </w:p>
        </w:tc>
        <w:tc>
          <w:tcPr>
            <w:tcW w:w="7300" w:type="dxa"/>
            <w:vAlign w:val="bottom"/>
            <w:tcBorders>
              <w:top w:val="single" w:sz="8" w:color="CCEEFF"/>
            </w:tcBorders>
            <w:gridSpan w:val="7"/>
          </w:tcPr>
          <w:p>
            <w:pPr>
              <w:spacing w:after="0"/>
              <w:rPr>
                <w:sz w:val="15"/>
                <w:szCs w:val="15"/>
                <w:color w:val="auto"/>
              </w:rPr>
            </w:pPr>
          </w:p>
        </w:tc>
        <w:tc>
          <w:tcPr>
            <w:tcW w:w="540" w:type="dxa"/>
            <w:vAlign w:val="bottom"/>
            <w:tcBorders>
              <w:top w:val="single" w:sz="8" w:color="CCEEFF"/>
            </w:tcBorders>
          </w:tcPr>
          <w:p>
            <w:pPr>
              <w:jc w:val="center"/>
              <w:ind w:right="27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w:t>
            </w:r>
          </w:p>
        </w:tc>
        <w:tc>
          <w:tcPr>
            <w:tcW w:w="10120" w:type="dxa"/>
            <w:vAlign w:val="bottom"/>
            <w:tcBorders>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rPr>
              <w:t>Leases</w:t>
            </w:r>
          </w:p>
        </w:tc>
        <w:tc>
          <w:tcPr>
            <w:tcW w:w="540" w:type="dxa"/>
            <w:vAlign w:val="bottom"/>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15.</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Income Taxes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16.</w:t>
            </w:r>
          </w:p>
        </w:tc>
        <w:tc>
          <w:tcPr>
            <w:tcW w:w="198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0"/>
              </w:rPr>
              <w:t>Asset Retirement Provision</w:t>
            </w:r>
          </w:p>
        </w:tc>
        <w:tc>
          <w:tcPr>
            <w:tcW w:w="8140" w:type="dxa"/>
            <w:vAlign w:val="bottom"/>
            <w:tcBorders>
              <w:bottom w:val="single" w:sz="8" w:color="CCEEFF"/>
              <w:right w:val="single" w:sz="8" w:color="CCEEFF"/>
            </w:tcBorders>
            <w:gridSpan w:val="10"/>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17.</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Share Capital</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18.</w:t>
            </w:r>
          </w:p>
        </w:tc>
        <w:tc>
          <w:tcPr>
            <w:tcW w:w="15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0"/>
              </w:rPr>
              <w:t>Financial Instruments</w:t>
            </w:r>
          </w:p>
        </w:tc>
        <w:tc>
          <w:tcPr>
            <w:tcW w:w="85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19.</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Transactions and Balances with Related Parties</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w:t>
            </w:r>
          </w:p>
        </w:tc>
        <w:tc>
          <w:tcPr>
            <w:tcW w:w="10120" w:type="dxa"/>
            <w:vAlign w:val="bottom"/>
            <w:tcBorders>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rPr>
              <w:t>Net Earnings (Loss) Per Share</w:t>
            </w:r>
          </w:p>
        </w:tc>
        <w:tc>
          <w:tcPr>
            <w:tcW w:w="540" w:type="dxa"/>
            <w:vAlign w:val="bottom"/>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27</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21.</w:t>
            </w:r>
          </w:p>
        </w:tc>
        <w:tc>
          <w:tcPr>
            <w:tcW w:w="218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Share-based Payment</w:t>
            </w:r>
          </w:p>
        </w:tc>
        <w:tc>
          <w:tcPr>
            <w:tcW w:w="7940" w:type="dxa"/>
            <w:vAlign w:val="bottom"/>
            <w:tcBorders>
              <w:top w:val="single" w:sz="8" w:color="CCEEFF"/>
            </w:tcBorders>
            <w:gridSpan w:val="9"/>
          </w:tcPr>
          <w:p>
            <w:pPr>
              <w:spacing w:after="0"/>
              <w:rPr>
                <w:sz w:val="15"/>
                <w:szCs w:val="15"/>
                <w:color w:val="auto"/>
              </w:rPr>
            </w:pPr>
          </w:p>
        </w:tc>
        <w:tc>
          <w:tcPr>
            <w:tcW w:w="540" w:type="dxa"/>
            <w:vAlign w:val="bottom"/>
            <w:tcBorders>
              <w:top w:val="single" w:sz="8" w:color="CCEEFF"/>
            </w:tcBorders>
          </w:tcPr>
          <w:p>
            <w:pPr>
              <w:jc w:val="center"/>
              <w:ind w:right="270"/>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628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1"/>
              </w:rPr>
              <w:t>Additional Details to the Statement of Profit or Loss and Comprehensive Profit or Loss</w:t>
            </w:r>
          </w:p>
        </w:tc>
        <w:tc>
          <w:tcPr>
            <w:tcW w:w="3840" w:type="dxa"/>
            <w:vAlign w:val="bottom"/>
            <w:tcBorders>
              <w:bottom w:val="single" w:sz="8" w:color="CCEEFF"/>
              <w:right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29</w:t>
            </w:r>
          </w:p>
        </w:tc>
      </w:tr>
      <w:tr>
        <w:trPr>
          <w:trHeight w:val="175"/>
        </w:trPr>
        <w:tc>
          <w:tcPr>
            <w:tcW w:w="580" w:type="dxa"/>
            <w:vAlign w:val="bottom"/>
          </w:tcPr>
          <w:p>
            <w:pPr>
              <w:spacing w:after="0" w:line="176" w:lineRule="exact"/>
              <w:rPr>
                <w:sz w:val="20"/>
                <w:szCs w:val="20"/>
                <w:color w:val="auto"/>
              </w:rPr>
            </w:pPr>
            <w:r>
              <w:rPr>
                <w:rFonts w:ascii="Arial" w:cs="Arial" w:eastAsia="Arial" w:hAnsi="Arial"/>
                <w:sz w:val="18"/>
                <w:szCs w:val="18"/>
                <w:color w:val="auto"/>
              </w:rPr>
              <w:t>23.</w:t>
            </w:r>
          </w:p>
        </w:tc>
        <w:tc>
          <w:tcPr>
            <w:tcW w:w="10120" w:type="dxa"/>
            <w:vAlign w:val="bottom"/>
            <w:gridSpan w:val="24"/>
          </w:tcPr>
          <w:p>
            <w:pPr>
              <w:spacing w:after="0" w:line="176" w:lineRule="exact"/>
              <w:rPr>
                <w:sz w:val="20"/>
                <w:szCs w:val="20"/>
                <w:color w:val="auto"/>
              </w:rPr>
            </w:pPr>
            <w:r>
              <w:rPr>
                <w:rFonts w:ascii="Arial" w:cs="Arial" w:eastAsia="Arial" w:hAnsi="Arial"/>
                <w:sz w:val="18"/>
                <w:szCs w:val="18"/>
                <w:color w:val="0000EE"/>
              </w:rPr>
              <w:t>Geographical Information</w:t>
            </w:r>
          </w:p>
        </w:tc>
        <w:tc>
          <w:tcPr>
            <w:tcW w:w="5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10120" w:type="dxa"/>
            <w:vAlign w:val="bottom"/>
            <w:tcBorders>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rPr>
              <w:t>Additional Details to the Statements of Cash Flows</w:t>
            </w:r>
          </w:p>
        </w:tc>
        <w:tc>
          <w:tcPr>
            <w:tcW w:w="540" w:type="dxa"/>
            <w:vAlign w:val="bottom"/>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89"/>
              </w:rPr>
              <w:t>32</w:t>
            </w:r>
          </w:p>
        </w:tc>
      </w:tr>
      <w:tr>
        <w:trPr>
          <w:trHeight w:val="439"/>
        </w:trPr>
        <w:tc>
          <w:tcPr>
            <w:tcW w:w="5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38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120" w:type="dxa"/>
            <w:vAlign w:val="bottom"/>
            <w:tcBorders>
              <w:right w:val="single" w:sz="8" w:color="auto"/>
            </w:tcBorders>
            <w:gridSpan w:val="24"/>
          </w:tcPr>
          <w:p>
            <w:pPr>
              <w:ind w:left="9940"/>
              <w:spacing w:after="0"/>
              <w:rPr>
                <w:sz w:val="20"/>
                <w:szCs w:val="20"/>
                <w:color w:val="auto"/>
              </w:rPr>
            </w:pPr>
            <w:r>
              <w:rPr>
                <w:rFonts w:ascii="Arial" w:cs="Arial" w:eastAsia="Arial" w:hAnsi="Arial"/>
                <w:sz w:val="18"/>
                <w:szCs w:val="18"/>
                <w:color w:val="auto"/>
              </w:rPr>
              <w:t>2</w:t>
            </w:r>
          </w:p>
        </w:tc>
        <w:tc>
          <w:tcPr>
            <w:tcW w:w="540" w:type="dxa"/>
            <w:vAlign w:val="bottom"/>
          </w:tcPr>
          <w:p>
            <w:pPr>
              <w:ind w:left="6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82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0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FINANCIAL POSITION </w:t>
      </w: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6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September 30,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7"/>
        </w:trPr>
        <w:tc>
          <w:tcPr>
            <w:tcW w:w="6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Notes</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195"/>
        </w:trPr>
        <w:tc>
          <w:tcPr>
            <w:tcW w:w="6080" w:type="dxa"/>
            <w:vAlign w:val="bottom"/>
          </w:tcPr>
          <w:p>
            <w:pPr>
              <w:spacing w:after="0" w:line="195" w:lineRule="exact"/>
              <w:rPr>
                <w:sz w:val="20"/>
                <w:szCs w:val="20"/>
                <w:color w:val="auto"/>
              </w:rPr>
            </w:pPr>
            <w:r>
              <w:rPr>
                <w:rFonts w:ascii="Arial" w:cs="Arial" w:eastAsia="Arial" w:hAnsi="Arial"/>
                <w:sz w:val="18"/>
                <w:szCs w:val="18"/>
                <w:b w:val="1"/>
                <w:bCs w:val="1"/>
                <w:color w:val="auto"/>
              </w:rPr>
              <w:t>Assets</w:t>
            </w:r>
          </w:p>
        </w:tc>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Current</w:t>
            </w:r>
          </w:p>
        </w:tc>
        <w:tc>
          <w:tcPr>
            <w:tcW w:w="2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46,775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25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1,157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7,102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Short-term prepaid deposits</w:t>
            </w:r>
          </w:p>
        </w:tc>
        <w:tc>
          <w:tcPr>
            <w:tcW w:w="250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4,180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12,921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receivable</w:t>
            </w: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4,324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Digital assets</w:t>
            </w:r>
          </w:p>
        </w:tc>
        <w:tc>
          <w:tcPr>
            <w:tcW w:w="2500" w:type="dxa"/>
            <w:vAlign w:val="bottom"/>
          </w:tcPr>
          <w:p>
            <w:pPr>
              <w:jc w:val="right"/>
              <w:ind w:right="50"/>
              <w:spacing w:after="0"/>
              <w:rPr>
                <w:sz w:val="20"/>
                <w:szCs w:val="20"/>
                <w:color w:val="auto"/>
              </w:rPr>
            </w:pPr>
            <w:r>
              <w:rPr>
                <w:rFonts w:ascii="Arial" w:cs="Arial" w:eastAsia="Arial" w:hAnsi="Arial"/>
                <w:sz w:val="18"/>
                <w:szCs w:val="18"/>
                <w:b w:val="1"/>
                <w:bCs w:val="1"/>
                <w:color w:val="auto"/>
              </w:rPr>
              <w:t>7</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16,809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4,635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 pledged as collateral</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7, 13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2,166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43"/>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Assets held for sale</w:t>
            </w:r>
          </w:p>
        </w:tc>
        <w:tc>
          <w:tcPr>
            <w:tcW w:w="2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1,220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1,220</w:t>
            </w:r>
          </w:p>
        </w:tc>
      </w:tr>
      <w:tr>
        <w:trPr>
          <w:trHeight w:val="209"/>
        </w:trPr>
        <w:tc>
          <w:tcPr>
            <w:tcW w:w="6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83,733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69,088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w:t>
            </w:r>
          </w:p>
        </w:tc>
        <w:tc>
          <w:tcPr>
            <w:tcW w:w="2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9, 23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203,452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500" w:type="dxa"/>
            <w:vAlign w:val="bottom"/>
          </w:tcPr>
          <w:p>
            <w:pPr>
              <w:jc w:val="right"/>
              <w:ind w:right="50"/>
              <w:spacing w:after="0"/>
              <w:rPr>
                <w:sz w:val="20"/>
                <w:szCs w:val="20"/>
                <w:color w:val="auto"/>
              </w:rPr>
            </w:pPr>
            <w:r>
              <w:rPr>
                <w:rFonts w:ascii="Arial" w:cs="Arial" w:eastAsia="Arial" w:hAnsi="Arial"/>
                <w:sz w:val="18"/>
                <w:szCs w:val="18"/>
                <w:b w:val="1"/>
                <w:bCs w:val="1"/>
                <w:color w:val="auto"/>
              </w:rPr>
              <w:t>14</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15,108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16,364</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 equipment prepayments and other</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26,683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38,185</w:t>
            </w:r>
          </w:p>
        </w:tc>
      </w:tr>
      <w:tr>
        <w:trPr>
          <w:trHeight w:val="243"/>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Intangible assets</w:t>
            </w:r>
          </w:p>
        </w:tc>
        <w:tc>
          <w:tcPr>
            <w:tcW w:w="2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3,821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332,797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343,098</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2500" w:type="dxa"/>
            <w:vAlign w:val="bottom"/>
          </w:tcPr>
          <w:p>
            <w:pPr>
              <w:jc w:val="right"/>
              <w:ind w:right="50"/>
              <w:spacing w:after="0"/>
              <w:rPr>
                <w:sz w:val="20"/>
                <w:szCs w:val="20"/>
                <w:color w:val="auto"/>
              </w:rPr>
            </w:pPr>
            <w:r>
              <w:rPr>
                <w:rFonts w:ascii="Arial" w:cs="Arial" w:eastAsia="Arial" w:hAnsi="Arial"/>
                <w:sz w:val="18"/>
                <w:szCs w:val="18"/>
                <w:b w:val="1"/>
                <w:bCs w:val="1"/>
                <w:color w:val="auto"/>
              </w:rPr>
              <w:t>12</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16,659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20,541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9,913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43,054</w:t>
            </w:r>
          </w:p>
        </w:tc>
      </w:tr>
      <w:tr>
        <w:trPr>
          <w:trHeight w:val="243"/>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Current portion of lease liabilities</w:t>
            </w:r>
          </w:p>
        </w:tc>
        <w:tc>
          <w:tcPr>
            <w:tcW w:w="2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3,114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r>
      <w:tr>
        <w:trPr>
          <w:trHeight w:val="209"/>
        </w:trPr>
        <w:tc>
          <w:tcPr>
            <w:tcW w:w="6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29,686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67,244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w:t>
            </w:r>
          </w:p>
        </w:tc>
        <w:tc>
          <w:tcPr>
            <w:tcW w:w="2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2500" w:type="dxa"/>
            <w:vAlign w:val="bottom"/>
          </w:tcPr>
          <w:p>
            <w:pPr>
              <w:jc w:val="right"/>
              <w:ind w:right="50"/>
              <w:spacing w:after="0"/>
              <w:rPr>
                <w:sz w:val="20"/>
                <w:szCs w:val="20"/>
                <w:color w:val="auto"/>
              </w:rPr>
            </w:pPr>
            <w:r>
              <w:rPr>
                <w:rFonts w:ascii="Arial" w:cs="Arial" w:eastAsia="Arial" w:hAnsi="Arial"/>
                <w:sz w:val="18"/>
                <w:szCs w:val="18"/>
                <w:b w:val="1"/>
                <w:bCs w:val="1"/>
                <w:color w:val="auto"/>
              </w:rPr>
              <w:t>14</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13,168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14,215</w:t>
            </w:r>
          </w:p>
        </w:tc>
      </w:tr>
      <w:tr>
        <w:trPr>
          <w:trHeight w:val="243"/>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retirement provision</w:t>
            </w:r>
          </w:p>
        </w:tc>
        <w:tc>
          <w:tcPr>
            <w:tcW w:w="2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2,335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2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45,297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87,531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Share capital</w:t>
            </w:r>
          </w:p>
        </w:tc>
        <w:tc>
          <w:tcPr>
            <w:tcW w:w="25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499,678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429,120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2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71,983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65,512</w:t>
            </w:r>
          </w:p>
        </w:tc>
      </w:tr>
      <w:tr>
        <w:trPr>
          <w:trHeight w:val="24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deficit</w:t>
            </w:r>
          </w:p>
        </w:tc>
        <w:tc>
          <w:tcPr>
            <w:tcW w:w="2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(284,161)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(239,065)</w:t>
            </w:r>
          </w:p>
        </w:tc>
      </w:tr>
      <w:tr>
        <w:trPr>
          <w:trHeight w:val="237"/>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5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287,500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255,567</w:t>
            </w:r>
          </w:p>
        </w:tc>
      </w:tr>
      <w:tr>
        <w:trPr>
          <w:trHeight w:val="24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332,797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343,098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6"/>
          </w:tcPr>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tc>
        <w:tc>
          <w:tcPr>
            <w:tcW w:w="2680" w:type="dxa"/>
            <w:vAlign w:val="bottom"/>
          </w:tcPr>
          <w:p>
            <w:pPr>
              <w:spacing w:after="0"/>
              <w:rPr>
                <w:sz w:val="20"/>
                <w:szCs w:val="20"/>
                <w:color w:val="auto"/>
              </w:rPr>
            </w:pPr>
          </w:p>
        </w:tc>
      </w:tr>
      <w:tr>
        <w:trPr>
          <w:trHeight w:val="453"/>
        </w:trPr>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November 6, 2023</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88"/>
              </w:rPr>
              <w:t>/s/ Nicolas Bonta</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88"/>
              </w:rPr>
              <w:t>/s/ Geoffrey Morphy</w:t>
            </w:r>
          </w:p>
        </w:tc>
        <w:tc>
          <w:tcPr>
            <w:tcW w:w="2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/s/ Jeffrey Lucas</w:t>
            </w:r>
          </w:p>
        </w:tc>
      </w:tr>
      <w:tr>
        <w:trPr>
          <w:trHeight w:val="198"/>
        </w:trPr>
        <w:tc>
          <w:tcPr>
            <w:tcW w:w="2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Date of approval of the</w:t>
            </w:r>
          </w:p>
        </w:tc>
        <w:tc>
          <w:tcPr>
            <w:tcW w:w="140" w:type="dxa"/>
            <w:vAlign w:val="bottom"/>
          </w:tcPr>
          <w:p>
            <w:pPr>
              <w:spacing w:after="0"/>
              <w:rPr>
                <w:sz w:val="17"/>
                <w:szCs w:val="17"/>
                <w:color w:val="auto"/>
              </w:rPr>
            </w:pPr>
          </w:p>
        </w:tc>
        <w:tc>
          <w:tcPr>
            <w:tcW w:w="27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Chairman of the Board of</w:t>
            </w:r>
          </w:p>
        </w:tc>
        <w:tc>
          <w:tcPr>
            <w:tcW w:w="100" w:type="dxa"/>
            <w:vAlign w:val="bottom"/>
          </w:tcPr>
          <w:p>
            <w:pPr>
              <w:spacing w:after="0"/>
              <w:rPr>
                <w:sz w:val="17"/>
                <w:szCs w:val="17"/>
                <w:color w:val="auto"/>
              </w:rPr>
            </w:pPr>
          </w:p>
        </w:tc>
        <w:tc>
          <w:tcPr>
            <w:tcW w:w="2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President &amp; Chief Executive</w:t>
            </w:r>
          </w:p>
        </w:tc>
        <w:tc>
          <w:tcPr>
            <w:tcW w:w="120" w:type="dxa"/>
            <w:vAlign w:val="bottom"/>
          </w:tcPr>
          <w:p>
            <w:pPr>
              <w:spacing w:after="0"/>
              <w:rPr>
                <w:sz w:val="17"/>
                <w:szCs w:val="17"/>
                <w:color w:val="auto"/>
              </w:rPr>
            </w:pPr>
          </w:p>
        </w:tc>
        <w:tc>
          <w:tcPr>
            <w:tcW w:w="2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financial statements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Directors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Officer</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3  Page</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220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PROFIT OR LOSS AND COMPREHENSIVE PROFIT OR LOSS </w:t>
      </w:r>
      <w:r>
        <w:rPr>
          <w:rFonts w:ascii="Arial" w:cs="Arial" w:eastAsia="Arial" w:hAnsi="Arial"/>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Notes</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7, 23</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34,596</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33,247</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100,125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115,391</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43,462</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37,186</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123,384</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92,789</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(8,866)</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(3,939)</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(23,259)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22,602</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8,372</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10,299</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25,887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39,534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loss on disposition of digital assets</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44,329</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122,243</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1,183</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(45,655)</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(1,512)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disposition of property, plant and equipment</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217</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756</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1,776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2"/>
        </w:trPr>
        <w:tc>
          <w:tcPr>
            <w:tcW w:w="4900" w:type="dxa"/>
            <w:vAlign w:val="bottom"/>
          </w:tcPr>
          <w:p>
            <w:pPr>
              <w:ind w:left="180"/>
              <w:spacing w:after="0" w:line="201" w:lineRule="exact"/>
              <w:rPr>
                <w:sz w:val="20"/>
                <w:szCs w:val="20"/>
                <w:color w:val="auto"/>
              </w:rPr>
            </w:pPr>
            <w:r>
              <w:rPr>
                <w:rFonts w:ascii="Arial" w:cs="Arial" w:eastAsia="Arial" w:hAnsi="Arial"/>
                <w:sz w:val="18"/>
                <w:szCs w:val="18"/>
                <w:color w:val="auto"/>
              </w:rPr>
              <w:t>Impairment on short-term prepaid deposits, equipment and</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w w:val="99"/>
              </w:rPr>
              <w:t>construction prepayments, property, plant and equipment</w:t>
            </w: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spacing w:after="0"/>
              <w:rPr>
                <w:sz w:val="18"/>
                <w:szCs w:val="18"/>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9,982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and right-of-use assets</w:t>
            </w:r>
          </w:p>
        </w:tc>
        <w:tc>
          <w:tcPr>
            <w:tcW w:w="11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84,116</w:t>
            </w:r>
          </w:p>
        </w:tc>
        <w:tc>
          <w:tcPr>
            <w:tcW w:w="1340" w:type="dxa"/>
            <w:vAlign w:val="bottom"/>
            <w:vMerge w:val="continue"/>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84,116</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Impairment on goodwill</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loss</w:t>
            </w: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(18,638)</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(97,784)</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(59,392)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(264,001)</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(336)</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(8,251)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(12,706)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 before income taxes</w:t>
            </w: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(18,302)</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(89,533)</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(46,686)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(239,810)</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401</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(4,725)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(18,703)</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(84,808)</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(46,663)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Item that will not be reclassified to profit or loss:</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in revaluation surplus - digital assets, net of tax</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(824)</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1,567</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1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(19,527)</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(84,808)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(45,096)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(222,207)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(0.07)</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(0.40)</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Weighted average number of common shares outstanding</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273,907,000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210,378,000</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251,010,000</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203,839,000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4  Page</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60"/>
        <w:spacing w:after="0" w:line="323" w:lineRule="auto"/>
        <w:rPr>
          <w:sz w:val="20"/>
          <w:szCs w:val="20"/>
          <w:color w:val="auto"/>
        </w:rPr>
      </w:pPr>
      <w:r>
        <w:rPr>
          <w:rFonts w:ascii="Arial" w:cs="Arial" w:eastAsia="Arial" w:hAnsi="Arial"/>
          <w:sz w:val="16"/>
          <w:szCs w:val="16"/>
          <w:b w:val="1"/>
          <w:bCs w:val="1"/>
          <w:color w:val="auto"/>
        </w:rPr>
        <w:t xml:space="preserve">INTERIM CONSOLIDATED STATEMENTS OF CHANGES IN EQUITY </w:t>
      </w:r>
      <w:r>
        <w:rPr>
          <w:rFonts w:ascii="Arial" w:cs="Arial" w:eastAsia="Arial" w:hAnsi="Arial"/>
          <w:sz w:val="16"/>
          <w:szCs w:val="16"/>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Contributed</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(accumulated</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Revaluation</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Notes</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capital</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surplus</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deficit)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surplus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2023</w:t>
            </w:r>
          </w:p>
        </w:tc>
        <w:tc>
          <w:tcPr>
            <w:tcW w:w="5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224,200,000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429,120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65,512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(239,065)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255,567</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(46,663)</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(46,663)</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revaluation surplus - digital assets, net of tax</w:t>
            </w:r>
          </w:p>
        </w:tc>
        <w:tc>
          <w:tcPr>
            <w:tcW w:w="5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loss, net of tax</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(46,663)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(45,096)</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w w:val="92"/>
              </w:rPr>
              <w:t>Transfer of revaluation surplus on disposal of digital assets to</w:t>
            </w:r>
          </w:p>
        </w:tc>
        <w:tc>
          <w:tcPr>
            <w:tcW w:w="58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1,567</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(1,567)</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retained earnings, net of tax</w:t>
            </w:r>
          </w:p>
        </w:tc>
        <w:tc>
          <w:tcPr>
            <w:tcW w:w="5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7,009</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52,942,000</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69,858</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69,858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share units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142,000</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277,684,000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499,678</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71,983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(284,161)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287,500</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5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194,806,000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378,893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43,704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422,582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(222,207)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(222,207)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17,993</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Issuance of common shares and warrants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20,835,000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48,506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related to equity issuance costs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4"/>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w:t>
            </w:r>
          </w:p>
        </w:tc>
        <w:tc>
          <w:tcPr>
            <w:tcW w:w="5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215,711,000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423,546</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61,717</w:t>
            </w:r>
          </w:p>
        </w:tc>
        <w:tc>
          <w:tcPr>
            <w:tcW w:w="1160" w:type="dxa"/>
            <w:vAlign w:val="bottom"/>
            <w:tcBorders>
              <w:bottom w:val="single" w:sz="8" w:color="auto"/>
            </w:tcBorders>
            <w:shd w:val="clear" w:color="auto" w:fill="CCEEFF"/>
          </w:tcPr>
          <w:p>
            <w:pPr>
              <w:jc w:val="right"/>
              <w:spacing w:after="0" w:line="276" w:lineRule="exact"/>
              <w:rPr>
                <w:sz w:val="20"/>
                <w:szCs w:val="20"/>
                <w:color w:val="auto"/>
              </w:rPr>
            </w:pPr>
            <w:r>
              <w:rPr>
                <w:rFonts w:ascii="Arial" w:cs="Arial" w:eastAsia="Arial" w:hAnsi="Arial"/>
                <w:sz w:val="17"/>
                <w:szCs w:val="17"/>
                <w:color w:val="auto"/>
              </w:rPr>
              <w:t>(222,222</w:t>
            </w:r>
            <w:r>
              <w:rPr>
                <w:rFonts w:ascii="Arial" w:cs="Arial" w:eastAsia="Arial" w:hAnsi="Arial"/>
                <w:sz w:val="32"/>
                <w:szCs w:val="32"/>
                <w:color w:val="auto"/>
                <w:vertAlign w:val="superscript"/>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5  Page</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(46,663)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Adjustments for:</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62,995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51,643</w:t>
            </w:r>
          </w:p>
        </w:tc>
        <w:tc>
          <w:tcPr>
            <w:tcW w:w="0" w:type="dxa"/>
            <w:vAlign w:val="bottom"/>
          </w:tcPr>
          <w:p>
            <w:pPr>
              <w:spacing w:after="0"/>
              <w:rPr>
                <w:sz w:val="1"/>
                <w:szCs w:val="1"/>
                <w:color w:val="auto"/>
              </w:rPr>
            </w:pPr>
          </w:p>
        </w:tc>
      </w:tr>
      <w:tr>
        <w:trPr>
          <w:trHeight w:val="202"/>
        </w:trPr>
        <w:tc>
          <w:tcPr>
            <w:tcW w:w="7480" w:type="dxa"/>
            <w:vAlign w:val="bottom"/>
          </w:tcPr>
          <w:p>
            <w:pPr>
              <w:ind w:left="180"/>
              <w:spacing w:after="0" w:line="201" w:lineRule="exact"/>
              <w:rPr>
                <w:sz w:val="20"/>
                <w:szCs w:val="20"/>
                <w:color w:val="auto"/>
              </w:rPr>
            </w:pPr>
            <w:r>
              <w:rPr>
                <w:rFonts w:ascii="Arial" w:cs="Arial" w:eastAsia="Arial" w:hAnsi="Arial"/>
                <w:sz w:val="18"/>
                <w:szCs w:val="18"/>
                <w:color w:val="auto"/>
                <w:w w:val="95"/>
              </w:rPr>
              <w:t>Impairment on short-term prepaid deposits, equipment and construction prepayments, property,</w:t>
            </w:r>
          </w:p>
        </w:tc>
        <w:tc>
          <w:tcPr>
            <w:tcW w:w="12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8</w:t>
            </w:r>
          </w:p>
        </w:tc>
        <w:tc>
          <w:tcPr>
            <w:tcW w:w="13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9,982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plant and equipment and right-of-use assets</w:t>
            </w:r>
          </w:p>
        </w:tc>
        <w:tc>
          <w:tcPr>
            <w:tcW w:w="12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84,116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on goodwill</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Net financial income</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22</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(12,706)</w:t>
            </w:r>
          </w:p>
        </w:tc>
        <w:tc>
          <w:tcPr>
            <w:tcW w:w="1100" w:type="dxa"/>
            <w:vAlign w:val="bottom"/>
          </w:tcPr>
          <w:p>
            <w:pPr>
              <w:jc w:val="right"/>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earned</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(96,350)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(113,049)</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 of digital assets earned</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87,724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104,988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loss on disposition of digital assets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122,243</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(1,512)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7,009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Income tax expense (recovery)</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15</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(23)</w:t>
            </w:r>
          </w:p>
        </w:tc>
        <w:tc>
          <w:tcPr>
            <w:tcW w:w="1100" w:type="dxa"/>
            <w:vAlign w:val="bottom"/>
          </w:tcPr>
          <w:p>
            <w:pPr>
              <w:jc w:val="right"/>
              <w:spacing w:after="0"/>
              <w:rPr>
                <w:sz w:val="20"/>
                <w:szCs w:val="20"/>
                <w:color w:val="auto"/>
              </w:rPr>
            </w:pPr>
            <w:r>
              <w:rPr>
                <w:rFonts w:ascii="Arial" w:cs="Arial" w:eastAsia="Arial" w:hAnsi="Arial"/>
                <w:sz w:val="18"/>
                <w:szCs w:val="18"/>
                <w:color w:val="auto"/>
              </w:rPr>
              <w:t>(17,603)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disposition of property, plant and equipment</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1,776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Interest and financial expenses paid</w:t>
            </w:r>
          </w:p>
        </w:tc>
        <w:tc>
          <w:tcPr>
            <w:tcW w:w="128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(7,922)</w:t>
            </w:r>
          </w:p>
        </w:tc>
        <w:tc>
          <w:tcPr>
            <w:tcW w:w="1100" w:type="dxa"/>
            <w:vAlign w:val="bottom"/>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7,275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non-cash working capital components</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24</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(1,557)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related to operating activities</w:t>
            </w:r>
          </w:p>
        </w:tc>
        <w:tc>
          <w:tcPr>
            <w:tcW w:w="1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10,028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28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(43,576)</w:t>
            </w:r>
          </w:p>
        </w:tc>
        <w:tc>
          <w:tcPr>
            <w:tcW w:w="1100" w:type="dxa"/>
            <w:vAlign w:val="bottom"/>
          </w:tcPr>
          <w:p>
            <w:pPr>
              <w:jc w:val="right"/>
              <w:spacing w:after="0"/>
              <w:rPr>
                <w:sz w:val="20"/>
                <w:szCs w:val="20"/>
                <w:color w:val="auto"/>
              </w:rPr>
            </w:pPr>
            <w:r>
              <w:rPr>
                <w:rFonts w:ascii="Arial" w:cs="Arial" w:eastAsia="Arial" w:hAnsi="Arial"/>
                <w:sz w:val="18"/>
                <w:szCs w:val="18"/>
                <w:color w:val="auto"/>
              </w:rPr>
              <w:t>(116,217)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2,884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22</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(33,759)</w:t>
            </w:r>
          </w:p>
        </w:tc>
        <w:tc>
          <w:tcPr>
            <w:tcW w:w="1100" w:type="dxa"/>
            <w:vAlign w:val="bottom"/>
          </w:tcPr>
          <w:p>
            <w:pPr>
              <w:jc w:val="right"/>
              <w:spacing w:after="0"/>
              <w:rPr>
                <w:sz w:val="20"/>
                <w:szCs w:val="20"/>
                <w:color w:val="auto"/>
              </w:rPr>
            </w:pPr>
            <w:r>
              <w:rPr>
                <w:rFonts w:ascii="Arial" w:cs="Arial" w:eastAsia="Arial" w:hAnsi="Arial"/>
                <w:sz w:val="18"/>
                <w:szCs w:val="18"/>
                <w:color w:val="auto"/>
              </w:rPr>
              <w:t>(127,916)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 of marketable securities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45,005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172,248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Acquisitions of assets</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5</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(2,394)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Purchase of digital assets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Proceeds from sale of digital assets purchased</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7</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 and construction prepayments and other</w:t>
            </w:r>
          </w:p>
        </w:tc>
        <w:tc>
          <w:tcPr>
            <w:tcW w:w="1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(3,533)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(54,891)</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change in cash related to investing activities</w:t>
            </w:r>
          </w:p>
        </w:tc>
        <w:tc>
          <w:tcPr>
            <w:tcW w:w="1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(35,373)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(144,541)</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68,504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48,506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13</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(24,601)</w:t>
            </w:r>
          </w:p>
        </w:tc>
        <w:tc>
          <w:tcPr>
            <w:tcW w:w="1100" w:type="dxa"/>
            <w:vAlign w:val="bottom"/>
          </w:tcPr>
          <w:p>
            <w:pPr>
              <w:jc w:val="right"/>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67,168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Repayment of lease liabilities</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14</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(2,852)</w:t>
            </w:r>
          </w:p>
        </w:tc>
        <w:tc>
          <w:tcPr>
            <w:tcW w:w="1100" w:type="dxa"/>
            <w:vAlign w:val="bottom"/>
          </w:tcPr>
          <w:p>
            <w:pPr>
              <w:jc w:val="right"/>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17, 21</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Proceeds from credit facility</w:t>
            </w:r>
          </w:p>
        </w:tc>
        <w:tc>
          <w:tcPr>
            <w:tcW w:w="128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55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1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(76,863)</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change in cash related to financing activities</w:t>
            </w:r>
          </w:p>
        </w:tc>
        <w:tc>
          <w:tcPr>
            <w:tcW w:w="1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41,268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51,542</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(decrease) in cash</w:t>
            </w:r>
          </w:p>
        </w:tc>
        <w:tc>
          <w:tcPr>
            <w:tcW w:w="1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15,923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(89,830)</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30,887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125,595</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Exchange rate differences on currency translation</w:t>
            </w:r>
          </w:p>
        </w:tc>
        <w:tc>
          <w:tcPr>
            <w:tcW w:w="1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46,775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35,814</w:t>
            </w:r>
          </w:p>
        </w:tc>
        <w:tc>
          <w:tcPr>
            <w:tcW w:w="0" w:type="dxa"/>
            <w:vAlign w:val="bottom"/>
          </w:tcPr>
          <w:p>
            <w:pPr>
              <w:spacing w:after="0"/>
              <w:rPr>
                <w:sz w:val="1"/>
                <w:szCs w:val="1"/>
                <w:color w:val="auto"/>
              </w:rPr>
            </w:pPr>
          </w:p>
        </w:tc>
      </w:tr>
      <w:tr>
        <w:trPr>
          <w:trHeight w:val="27"/>
        </w:trPr>
        <w:tc>
          <w:tcPr>
            <w:tcW w:w="74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6  Page</w:t>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ind w:hanging="4"/>
        <w:spacing w:after="0" w:line="311" w:lineRule="auto"/>
        <w:rPr>
          <w:sz w:val="20"/>
          <w:szCs w:val="20"/>
          <w:color w:val="auto"/>
        </w:rPr>
      </w:pPr>
      <w:r>
        <w:rPr>
          <w:rFonts w:ascii="Arial" w:cs="Arial" w:eastAsia="Arial" w:hAnsi="Arial"/>
          <w:sz w:val="16"/>
          <w:szCs w:val="16"/>
          <w:color w:val="auto"/>
        </w:rPr>
        <w:t>Bitfarms Ltd. (the “Company” or “Bitfarms”) was incorporated under the Canada Business Corporations Act on October 11, 2018 and continued under the Business Corporations Act (Ontario) on August 27, 2021. The common shares of the Company are listed on the Nasdaq Stock Market and the Toronto Stock Exchange (NASDAQ/TSX: BITF). Its registered office is located on 110 Yonge Street, Suite 1601, Toronto, Ontario, Canada, M5C 1T4.</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activities of the Company mainly consist of selling its computational power for the purpose of cryptocurrency mining in multiple jurisdictions as described in Note 23 “Geographical Information”. The Company’s operations are currently located in Canada, the United States, Argentina and Paraguay. 9159-9290 Quebec Inc. (“Volta”), a wholly-owned subsidiary of the Company, assists the Company in building and maintaining its server farms and provides electrician services to both commercial and residential customers in Quebec.</w:t>
      </w:r>
    </w:p>
    <w:p>
      <w:pPr>
        <w:spacing w:after="0" w:line="187" w:lineRule="exact"/>
        <w:rPr>
          <w:sz w:val="20"/>
          <w:szCs w:val="20"/>
          <w:color w:val="auto"/>
        </w:rPr>
      </w:pPr>
    </w:p>
    <w:p>
      <w:pPr>
        <w:jc w:val="both"/>
        <w:ind w:left="20" w:hanging="4"/>
        <w:spacing w:after="0" w:line="289" w:lineRule="auto"/>
        <w:rPr>
          <w:sz w:val="20"/>
          <w:szCs w:val="20"/>
          <w:color w:val="auto"/>
        </w:rPr>
      </w:pPr>
      <w:r>
        <w:rPr>
          <w:rFonts w:ascii="Arial" w:cs="Arial" w:eastAsia="Arial" w:hAnsi="Arial"/>
          <w:sz w:val="16"/>
          <w:szCs w:val="16"/>
          <w:color w:val="auto"/>
        </w:rPr>
        <w:t>Bitfarms owns and operates server farms comprised of computers (referred to as “Miners”) designed for the purpose of validating transactions on the BTC Blockchain (referred to as “Mining”). Bitfarms generally operates its Miners 24 hours a day, which produce computational power (measured by hashrate) that Bitfarms sells to a Mining Pool under a formula-driven rate commonly known in the industry as Full Pay Per Share (“FPPS”). Under FPPS, Mining Pools compensate Mining companies for their hashrate based on what the Mining Pool would expect to generate in revenue for a given time period if there was no randomness involved. The fee paid by a Mining Pool to Bitfarms for its hashrate may be in cryptocurrency, U.S. dollars, or another currency. Bitfarms accumulates the cryptocurrency fees it receives or exchanges them for U.S. dollars through reputable and established cryptocurrency trading platforms. Mining Pools generate revenue by Mining with purchased hashrate through the accumulation of Block Rewards and transaction fees issued by the BTC network. Mining Pools purchase hashrate and accept the risk of rewards not being commensurate with compensation paid with the aim to mine more blocks than their proportionate share in a given time period based on the computational power they have acquired.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these financial statements, the terms below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Term</w:t>
            </w:r>
          </w:p>
        </w:tc>
        <w:tc>
          <w:tcPr>
            <w:tcW w:w="774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Definition</w:t>
            </w:r>
          </w:p>
        </w:tc>
      </w:tr>
      <w:tr>
        <w:trPr>
          <w:trHeight w:val="210"/>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2940" w:type="dxa"/>
            <w:vAlign w:val="bottom"/>
          </w:tcPr>
          <w:p>
            <w:pPr>
              <w:ind w:left="360"/>
              <w:spacing w:after="0"/>
              <w:rPr>
                <w:sz w:val="20"/>
                <w:szCs w:val="20"/>
                <w:color w:val="auto"/>
              </w:rPr>
            </w:pPr>
            <w:r>
              <w:rPr>
                <w:rFonts w:ascii="Arial" w:cs="Arial" w:eastAsia="Arial" w:hAnsi="Arial"/>
                <w:sz w:val="18"/>
                <w:szCs w:val="18"/>
                <w:color w:val="auto"/>
              </w:rPr>
              <w:t>Volta</w:t>
            </w:r>
          </w:p>
        </w:tc>
        <w:tc>
          <w:tcPr>
            <w:tcW w:w="7740" w:type="dxa"/>
            <w:vAlign w:val="bottom"/>
          </w:tcPr>
          <w:p>
            <w:pPr>
              <w:ind w:left="1120"/>
              <w:spacing w:after="0"/>
              <w:rPr>
                <w:sz w:val="20"/>
                <w:szCs w:val="20"/>
                <w:color w:val="auto"/>
              </w:rPr>
            </w:pPr>
            <w:r>
              <w:rPr>
                <w:rFonts w:ascii="Arial" w:cs="Arial" w:eastAsia="Arial" w:hAnsi="Arial"/>
                <w:sz w:val="18"/>
                <w:szCs w:val="18"/>
                <w:color w:val="auto"/>
              </w:rPr>
              <w:t>9159-9290 Quebec Inc.</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Argentina</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SAU</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w:t>
            </w:r>
          </w:p>
        </w:tc>
        <w:tc>
          <w:tcPr>
            <w:tcW w:w="2940" w:type="dxa"/>
            <w:vAlign w:val="bottom"/>
          </w:tcPr>
          <w:p>
            <w:pPr>
              <w:ind w:left="360"/>
              <w:spacing w:after="0"/>
              <w:rPr>
                <w:sz w:val="20"/>
                <w:szCs w:val="20"/>
                <w:color w:val="auto"/>
              </w:rPr>
            </w:pPr>
            <w:r>
              <w:rPr>
                <w:rFonts w:ascii="Arial" w:cs="Arial" w:eastAsia="Arial" w:hAnsi="Arial"/>
                <w:sz w:val="18"/>
                <w:szCs w:val="18"/>
                <w:color w:val="auto"/>
              </w:rPr>
              <w:t>Backbone Paraguay</w:t>
            </w:r>
          </w:p>
        </w:tc>
        <w:tc>
          <w:tcPr>
            <w:tcW w:w="7740" w:type="dxa"/>
            <w:vAlign w:val="bottom"/>
          </w:tcPr>
          <w:p>
            <w:pPr>
              <w:ind w:left="1120"/>
              <w:spacing w:after="0"/>
              <w:rPr>
                <w:sz w:val="20"/>
                <w:szCs w:val="20"/>
                <w:color w:val="auto"/>
              </w:rPr>
            </w:pPr>
            <w:r>
              <w:rPr>
                <w:rFonts w:ascii="Arial" w:cs="Arial" w:eastAsia="Arial" w:hAnsi="Arial"/>
                <w:sz w:val="18"/>
                <w:szCs w:val="18"/>
                <w:color w:val="auto"/>
              </w:rPr>
              <w:t>Backbone Hosting Solutions Paraguay SA</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Mining</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Mining Solutions LLC</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2940" w:type="dxa"/>
            <w:vAlign w:val="bottom"/>
          </w:tcPr>
          <w:p>
            <w:pPr>
              <w:ind w:left="360"/>
              <w:spacing w:after="0"/>
              <w:rPr>
                <w:sz w:val="20"/>
                <w:szCs w:val="20"/>
                <w:color w:val="auto"/>
              </w:rPr>
            </w:pPr>
            <w:r>
              <w:rPr>
                <w:rFonts w:ascii="Arial" w:cs="Arial" w:eastAsia="Arial" w:hAnsi="Arial"/>
                <w:sz w:val="18"/>
                <w:szCs w:val="18"/>
                <w:color w:val="auto"/>
              </w:rPr>
              <w:t>BTC</w:t>
            </w:r>
          </w:p>
        </w:tc>
        <w:tc>
          <w:tcPr>
            <w:tcW w:w="7740" w:type="dxa"/>
            <w:vAlign w:val="bottom"/>
          </w:tcPr>
          <w:p>
            <w:pPr>
              <w:ind w:left="1120"/>
              <w:spacing w:after="0"/>
              <w:rPr>
                <w:sz w:val="20"/>
                <w:szCs w:val="20"/>
                <w:color w:val="auto"/>
              </w:rPr>
            </w:pPr>
            <w:r>
              <w:rPr>
                <w:rFonts w:ascii="Arial" w:cs="Arial" w:eastAsia="Arial" w:hAnsi="Arial"/>
                <w:sz w:val="18"/>
                <w:szCs w:val="18"/>
                <w:color w:val="auto"/>
              </w:rPr>
              <w:t>Bitcoin</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BVVE</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Blockchain Verification and Validation Equipment (primarily Miners)</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w:t>
            </w:r>
          </w:p>
        </w:tc>
        <w:tc>
          <w:tcPr>
            <w:tcW w:w="2940" w:type="dxa"/>
            <w:vAlign w:val="bottom"/>
          </w:tcPr>
          <w:p>
            <w:pPr>
              <w:ind w:left="360"/>
              <w:spacing w:after="0"/>
              <w:rPr>
                <w:sz w:val="20"/>
                <w:szCs w:val="20"/>
                <w:color w:val="auto"/>
              </w:rPr>
            </w:pPr>
            <w:r>
              <w:rPr>
                <w:rFonts w:ascii="Arial" w:cs="Arial" w:eastAsia="Arial" w:hAnsi="Arial"/>
                <w:sz w:val="18"/>
                <w:szCs w:val="18"/>
                <w:color w:val="auto"/>
              </w:rPr>
              <w:t>CAD</w:t>
            </w:r>
          </w:p>
        </w:tc>
        <w:tc>
          <w:tcPr>
            <w:tcW w:w="7740" w:type="dxa"/>
            <w:vAlign w:val="bottom"/>
          </w:tcPr>
          <w:p>
            <w:pPr>
              <w:ind w:left="1120"/>
              <w:spacing w:after="0"/>
              <w:rPr>
                <w:sz w:val="20"/>
                <w:szCs w:val="20"/>
                <w:color w:val="auto"/>
              </w:rPr>
            </w:pPr>
            <w:r>
              <w:rPr>
                <w:rFonts w:ascii="Arial" w:cs="Arial" w:eastAsia="Arial" w:hAnsi="Arial"/>
                <w:sz w:val="18"/>
                <w:szCs w:val="18"/>
                <w:color w:val="auto"/>
              </w:rPr>
              <w:t>Canadian Dollars</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USD</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 Dollars</w:t>
            </w:r>
          </w:p>
        </w:tc>
      </w:tr>
      <w:tr>
        <w:trPr>
          <w:trHeight w:val="223"/>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2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ARS</w:t>
            </w:r>
          </w:p>
        </w:tc>
        <w:tc>
          <w:tcPr>
            <w:tcW w:w="77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7  Page</w:t>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is primarily engaged in the cryptocurrency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operating budget and future estimated cash flows indicate that the Company will generate positive cash flow in excess of required interest and principal payments on its long-term debt due within the twelve-month period. These analyses are based on BTC market factors including price, difficulty and network hashrate, for the twelve-month period following the date of these interim condensed consolidated financial statements were authorized for issuance.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BTC Halving is scheduled to occur once every 210,000 blocks, or roughly every four years, until the total amount of BTC rewards issued reaches 21 million, which is expected to occur around 2140. The next BTC Halving is expected to occur in late April or early May 2024, at which time BTC block rewards will decrease from 6.25 BTC per block to 3.125 BTC per block. Once 21 million BTC are generated, the network will stop producing more. While BTC prices have had a history of price fluctuations around BTC Halving events, there is no guarantee that the price change will be favorable or would compensate for the reduction in Mining reward and the compensation from Mining Pools.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current BTC prices, the Company’s existing cash resources and the proceeds from any sale of its BTC treasury and BTC earned may not be sufficient to fund capital investments to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raises additional funds by issuing securities, existing shareholders may be diluted. If the Company is unable to obtain financing from external sources or issuing securities, or if funds from operations and proceeds from any sale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8  Page</w:t>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BASIS OF PRESENTATION AND SIGNIFICANT ACCOUNTING POLICIES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301" w:lineRule="auto"/>
        <w:rPr>
          <w:sz w:val="20"/>
          <w:szCs w:val="20"/>
          <w:color w:val="auto"/>
        </w:rPr>
      </w:pPr>
      <w:r>
        <w:rPr>
          <w:rFonts w:ascii="Arial" w:cs="Arial" w:eastAsia="Arial" w:hAnsi="Arial"/>
          <w:sz w:val="16"/>
          <w:szCs w:val="16"/>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These Financial Statements were approved by the Board of Directors on November 6, 2023.</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2022.</w:t>
      </w:r>
    </w:p>
    <w:p>
      <w:pPr>
        <w:spacing w:after="0" w:line="170" w:lineRule="exact"/>
        <w:rPr>
          <w:sz w:val="20"/>
          <w:szCs w:val="20"/>
          <w:color w:val="auto"/>
        </w:rPr>
      </w:pPr>
    </w:p>
    <w:p>
      <w:pPr>
        <w:jc w:val="both"/>
        <w:ind w:hanging="4"/>
        <w:spacing w:after="0" w:line="311" w:lineRule="auto"/>
        <w:rPr>
          <w:sz w:val="20"/>
          <w:szCs w:val="20"/>
          <w:color w:val="auto"/>
        </w:rPr>
      </w:pPr>
      <w:r>
        <w:rPr>
          <w:rFonts w:ascii="Arial" w:cs="Arial" w:eastAsia="Arial" w:hAnsi="Arial"/>
          <w:sz w:val="16"/>
          <w:szCs w:val="16"/>
          <w:color w:val="auto"/>
        </w:rPr>
        <w:t>These Financial Statements have been prepared under the same accounting policies used in the audited annual consolidated financial statements for the year ended December 31, 2022,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16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to existing standards were adopted by the Company as of January 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Amendments to IAS 1, </w:t>
      </w:r>
      <w:r>
        <w:rPr>
          <w:rFonts w:ascii="Arial" w:cs="Arial" w:eastAsia="Arial" w:hAnsi="Arial"/>
          <w:sz w:val="18"/>
          <w:szCs w:val="18"/>
          <w:b w:val="1"/>
          <w:bCs w:val="1"/>
          <w:i w:val="1"/>
          <w:iCs w:val="1"/>
          <w:color w:val="auto"/>
        </w:rPr>
        <w:t>Presentation of Financial Statements</w:t>
      </w:r>
      <w:r>
        <w:rPr>
          <w:rFonts w:ascii="Arial" w:cs="Arial" w:eastAsia="Arial" w:hAnsi="Arial"/>
          <w:sz w:val="18"/>
          <w:szCs w:val="18"/>
          <w:b w:val="1"/>
          <w:bCs w:val="1"/>
          <w:color w:val="auto"/>
        </w:rPr>
        <w:t xml:space="preserve"> (“IAS 1”)</w:t>
      </w:r>
    </w:p>
    <w:p>
      <w:pPr>
        <w:spacing w:after="0" w:line="27" w:lineRule="exact"/>
        <w:rPr>
          <w:sz w:val="20"/>
          <w:szCs w:val="20"/>
          <w:color w:val="auto"/>
        </w:rPr>
      </w:pPr>
    </w:p>
    <w:p>
      <w:pPr>
        <w:jc w:val="both"/>
        <w:ind w:hanging="4"/>
        <w:spacing w:after="0" w:line="255" w:lineRule="auto"/>
        <w:rPr>
          <w:sz w:val="20"/>
          <w:szCs w:val="20"/>
          <w:color w:val="auto"/>
        </w:rPr>
      </w:pPr>
      <w:r>
        <w:rPr>
          <w:rFonts w:ascii="Arial" w:cs="Arial" w:eastAsia="Arial" w:hAnsi="Arial"/>
          <w:sz w:val="18"/>
          <w:szCs w:val="18"/>
          <w:color w:val="auto"/>
        </w:rPr>
        <w:t>Amendments to IAS 1 change the requirements in IAS 1 with regard to disclosure of accounting policies. Applying the amendments, an entity discloses its material accounting policies instead of its significant accounting policies. Further amendments to IAS 1 explain how an entity can identify a material accounting policy.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Amendments to IAS 8, </w:t>
      </w:r>
      <w:r>
        <w:rPr>
          <w:rFonts w:ascii="Arial" w:cs="Arial" w:eastAsia="Arial" w:hAnsi="Arial"/>
          <w:sz w:val="18"/>
          <w:szCs w:val="18"/>
          <w:b w:val="1"/>
          <w:bCs w:val="1"/>
          <w:i w:val="1"/>
          <w:iCs w:val="1"/>
          <w:color w:val="auto"/>
        </w:rPr>
        <w:t>Accounting Policies, Changes in Accounting Estimates and Errors</w:t>
      </w:r>
      <w:r>
        <w:rPr>
          <w:rFonts w:ascii="Arial" w:cs="Arial" w:eastAsia="Arial" w:hAnsi="Arial"/>
          <w:sz w:val="18"/>
          <w:szCs w:val="18"/>
          <w:b w:val="1"/>
          <w:bCs w:val="1"/>
          <w:color w:val="auto"/>
        </w:rPr>
        <w:t xml:space="preserve"> (“IAS 8”)</w:t>
      </w:r>
    </w:p>
    <w:p>
      <w:pPr>
        <w:spacing w:after="0" w:line="27" w:lineRule="exact"/>
        <w:rPr>
          <w:sz w:val="20"/>
          <w:szCs w:val="20"/>
          <w:color w:val="auto"/>
        </w:rPr>
      </w:pPr>
    </w:p>
    <w:p>
      <w:pPr>
        <w:jc w:val="both"/>
        <w:ind w:hanging="4"/>
        <w:spacing w:after="0" w:line="260" w:lineRule="auto"/>
        <w:rPr>
          <w:sz w:val="20"/>
          <w:szCs w:val="20"/>
          <w:color w:val="auto"/>
        </w:rPr>
      </w:pPr>
      <w:r>
        <w:rPr>
          <w:rFonts w:ascii="Arial" w:cs="Arial" w:eastAsia="Arial" w:hAnsi="Arial"/>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adoption by the Company of the amendments listed above did not have a significant impact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9  Page</w:t>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 xml:space="preserve">BASIS OF PRESENTATION AND SIGNIFICANT ACCOUNTING POLICIES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to be adopted at a later date</w:t>
      </w:r>
    </w:p>
    <w:p>
      <w:pPr>
        <w:spacing w:after="0" w:line="229"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following amendments to existing standards have been issued and are applicable to the Company for its annual period beginning on January 1, 2024 and thereafter, with an earlier application permitted: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Amendments to IFRS 16,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(“IFRS 16”)</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Amendments to IFRS 16 require a seller-lessee to subsequently measure lease liabilities arising from a leaseback in a manner that does not recognize any amount of the gain or loss that relates to the right of use retained. The new requirements do not prevent a seller-lessee from recognizing in profit or loss any gain or loss relating to the partial or full termination of a lease.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Amendments to IAS 1</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93" w:lineRule="exact"/>
        <w:rPr>
          <w:sz w:val="20"/>
          <w:szCs w:val="20"/>
          <w:color w:val="auto"/>
        </w:rPr>
      </w:pPr>
    </w:p>
    <w:p>
      <w:pPr>
        <w:jc w:val="both"/>
        <w:ind w:left="20" w:hanging="4"/>
        <w:spacing w:after="0" w:line="342" w:lineRule="auto"/>
        <w:rPr>
          <w:sz w:val="20"/>
          <w:szCs w:val="20"/>
          <w:color w:val="auto"/>
        </w:rPr>
      </w:pPr>
      <w:r>
        <w:rPr>
          <w:rFonts w:ascii="Arial" w:cs="Arial" w:eastAsia="Arial" w:hAnsi="Arial"/>
          <w:sz w:val="16"/>
          <w:szCs w:val="16"/>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Amendments to IAS 7, </w:t>
      </w:r>
      <w:r>
        <w:rPr>
          <w:rFonts w:ascii="Arial" w:cs="Arial" w:eastAsia="Arial" w:hAnsi="Arial"/>
          <w:sz w:val="18"/>
          <w:szCs w:val="18"/>
          <w:b w:val="1"/>
          <w:bCs w:val="1"/>
          <w:i w:val="1"/>
          <w:iCs w:val="1"/>
          <w:color w:val="auto"/>
        </w:rPr>
        <w:t>Statement of Cash Flows</w:t>
      </w:r>
      <w:r>
        <w:rPr>
          <w:rFonts w:ascii="Arial" w:cs="Arial" w:eastAsia="Arial" w:hAnsi="Arial"/>
          <w:sz w:val="18"/>
          <w:szCs w:val="18"/>
          <w:b w:val="1"/>
          <w:bCs w:val="1"/>
          <w:color w:val="auto"/>
        </w:rPr>
        <w:t xml:space="preserve"> (“IAS 7”) and IFRS 7, </w:t>
      </w:r>
      <w:r>
        <w:rPr>
          <w:rFonts w:ascii="Arial" w:cs="Arial" w:eastAsia="Arial" w:hAnsi="Arial"/>
          <w:sz w:val="18"/>
          <w:szCs w:val="18"/>
          <w:b w:val="1"/>
          <w:bCs w:val="1"/>
          <w:i w:val="1"/>
          <w:iCs w:val="1"/>
          <w:color w:val="auto"/>
        </w:rPr>
        <w:t>Financial Instruments: Disclosures</w:t>
      </w:r>
      <w:r>
        <w:rPr>
          <w:rFonts w:ascii="Arial" w:cs="Arial" w:eastAsia="Arial" w:hAnsi="Arial"/>
          <w:sz w:val="18"/>
          <w:szCs w:val="18"/>
          <w:b w:val="1"/>
          <w:bCs w:val="1"/>
          <w:color w:val="auto"/>
        </w:rPr>
        <w:t xml:space="preserve"> (“IFRS 7”)</w:t>
      </w:r>
    </w:p>
    <w:p>
      <w:pPr>
        <w:spacing w:after="0" w:line="27" w:lineRule="exact"/>
        <w:rPr>
          <w:sz w:val="20"/>
          <w:szCs w:val="20"/>
          <w:color w:val="auto"/>
        </w:rPr>
      </w:pPr>
    </w:p>
    <w:p>
      <w:pPr>
        <w:jc w:val="both"/>
        <w:ind w:left="20" w:hanging="4"/>
        <w:spacing w:after="0" w:line="260" w:lineRule="auto"/>
        <w:rPr>
          <w:sz w:val="20"/>
          <w:szCs w:val="20"/>
          <w:color w:val="auto"/>
        </w:rPr>
      </w:pPr>
      <w:r>
        <w:rPr>
          <w:rFonts w:ascii="Arial" w:cs="Arial" w:eastAsia="Arial" w:hAnsi="Arial"/>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is currently evaluating the impact of adopting the amendments on the Company’s Financial Statements.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tab/>
        <w:t>SIGNIFICANT ACCOUNTING JUDGMENTS AND ESTIMATES</w:t>
      </w:r>
    </w:p>
    <w:p>
      <w:pPr>
        <w:spacing w:after="0" w:line="229" w:lineRule="exact"/>
        <w:rPr>
          <w:sz w:val="20"/>
          <w:szCs w:val="20"/>
          <w:color w:val="auto"/>
        </w:rPr>
      </w:pPr>
    </w:p>
    <w:p>
      <w:pPr>
        <w:jc w:val="both"/>
        <w:ind w:left="20" w:hanging="4"/>
        <w:spacing w:after="0" w:line="286" w:lineRule="auto"/>
        <w:rPr>
          <w:sz w:val="20"/>
          <w:szCs w:val="20"/>
          <w:color w:val="auto"/>
        </w:rPr>
      </w:pPr>
      <w:r>
        <w:rPr>
          <w:rFonts w:ascii="Arial" w:cs="Arial" w:eastAsia="Arial" w:hAnsi="Arial"/>
          <w:sz w:val="17"/>
          <w:szCs w:val="17"/>
          <w:color w:val="auto"/>
        </w:rPr>
        <w:t>The preparation of the Financial Statements requires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10  Page</w:t>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ACQUISITIONS OF ASSETS</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assets in Baie-Comeau</w:t>
      </w:r>
    </w:p>
    <w:p>
      <w:pPr>
        <w:spacing w:after="0" w:line="229" w:lineRule="exact"/>
        <w:rPr>
          <w:sz w:val="20"/>
          <w:szCs w:val="20"/>
          <w:color w:val="auto"/>
        </w:rPr>
      </w:pPr>
    </w:p>
    <w:p>
      <w:pPr>
        <w:jc w:val="both"/>
        <w:ind w:left="20" w:hanging="4"/>
        <w:spacing w:after="0" w:line="263" w:lineRule="auto"/>
        <w:rPr>
          <w:sz w:val="20"/>
          <w:szCs w:val="20"/>
          <w:color w:val="auto"/>
        </w:rPr>
      </w:pPr>
      <w:r>
        <w:rPr>
          <w:rFonts w:ascii="Arial" w:cs="Arial" w:eastAsia="Arial" w:hAnsi="Arial"/>
          <w:sz w:val="18"/>
          <w:szCs w:val="18"/>
          <w:color w:val="auto"/>
        </w:rPr>
        <w:t>On July 5, 2023, the Company acquired 100% of the shares of a corporation that owns the right to 22 MW of hydro power capacity in Baie-Comeau, Quebec. The consideration transferred at closing totaled $1,964 (CAD$2,603), of which $610 (CAD$814) was paid in cash and $1,354 (CAD$1,789) was paid through the issuance of 821,000 common shares of the Company.</w:t>
      </w:r>
    </w:p>
    <w:p>
      <w:pPr>
        <w:spacing w:after="0" w:line="184"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 xml:space="preserve">The acquisition of Baie-Comeau does not meet the definition of a business combination under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 Baie-Comeau’s primary assets consist mainly of a contractual right up to 22 MW of hydro power capacity. Therefore, the transaction has been recorded as an acquisition of a group of assets.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assets acquired and the liabilities assumed were recognized and measured by allocating the fair value of the consideration paid to their relative fair values at the closing date of the transaction. All financial assets acquired and financial liabilities assumed were recorded at fair value.</w:t>
      </w:r>
    </w:p>
    <w:p>
      <w:pPr>
        <w:sectPr>
          <w:pgSz w:w="11900" w:h="16838" w:orient="portrait"/>
          <w:cols w:equalWidth="0" w:num="1">
            <w:col w:w="11240"/>
          </w:cols>
          <w:pgMar w:left="320" w:top="904"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purchase price and the net assets acquired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consideration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of 821,000 common shares transferred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As of</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July 5,</w:t>
      </w:r>
    </w:p>
    <w:p>
      <w:pPr>
        <w:spacing w:after="0" w:line="54"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b w:val="1"/>
          <w:bCs w:val="1"/>
          <w:color w:val="auto"/>
        </w:rPr>
        <w:t>Notes</w:t>
      </w:r>
      <w:r>
        <w:rPr>
          <w:sz w:val="20"/>
          <w:szCs w:val="20"/>
          <w:color w:val="auto"/>
        </w:rPr>
        <w:tab/>
      </w:r>
      <w:r>
        <w:rPr>
          <w:rFonts w:ascii="Arial" w:cs="Arial" w:eastAsia="Arial" w:hAnsi="Arial"/>
          <w:sz w:val="16"/>
          <w:szCs w:val="16"/>
          <w:b w:val="1"/>
          <w:bCs w:val="1"/>
          <w:color w:val="auto"/>
        </w:rPr>
        <w:t>2023</w:t>
      </w:r>
    </w:p>
    <w:p>
      <w:pPr>
        <w:spacing w:after="0" w:line="200" w:lineRule="exact"/>
        <w:rPr>
          <w:sz w:val="20"/>
          <w:szCs w:val="20"/>
          <w:color w:val="auto"/>
        </w:rPr>
      </w:pPr>
    </w:p>
    <w:p>
      <w:pPr>
        <w:spacing w:after="0" w:line="28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1,354</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218</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2,182</w:t>
      </w:r>
    </w:p>
    <w:p>
      <w:pPr>
        <w:spacing w:after="0" w:line="200" w:lineRule="exact"/>
        <w:rPr>
          <w:sz w:val="20"/>
          <w:szCs w:val="20"/>
          <w:color w:val="auto"/>
        </w:rPr>
      </w:pPr>
    </w:p>
    <w:p>
      <w:pPr>
        <w:sectPr>
          <w:pgSz w:w="11900" w:h="16838" w:orient="portrait"/>
          <w:cols w:equalWidth="0" w:num="2">
            <w:col w:w="8640" w:space="720"/>
            <w:col w:w="1880"/>
          </w:cols>
          <w:pgMar w:left="320" w:top="904"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4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deposits</w:t>
            </w: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40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payables and accrued liabilities</w:t>
            </w: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Customer deposit</w:t>
            </w:r>
          </w:p>
        </w:tc>
        <w:tc>
          <w:tcPr>
            <w:tcW w:w="4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6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Intangible - access rights to electricity</w:t>
            </w:r>
          </w:p>
        </w:tc>
        <w:tc>
          <w:tcPr>
            <w:tcW w:w="4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r>
      <w:tr>
        <w:trPr>
          <w:trHeight w:val="244"/>
        </w:trPr>
        <w:tc>
          <w:tcPr>
            <w:tcW w:w="6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separately entered into a lease agreement with a third party for a site to install the infrastructure to operate the acquired capacity.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11  Page</w:t>
      </w:r>
    </w:p>
    <w:p>
      <w:pPr>
        <w:sectPr>
          <w:pgSz w:w="11900" w:h="16838" w:orient="portrait"/>
          <w:cols w:equalWidth="0" w:num="1">
            <w:col w:w="11240"/>
          </w:cols>
          <w:pgMar w:left="320" w:top="90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 xml:space="preserve">ACQUISITIONS OF ASSETS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assets in Paraguay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14, 2023, the Company acquired 100% of the shares of two corporations that own the rights to 50 MW and 100 MW, respectively, of hydro power capacity in Villarrica and Yguazu, respectively, Paraguay. The cash considerations totaled $1,095 and $450, respectively.</w:t>
      </w:r>
    </w:p>
    <w:p>
      <w:pPr>
        <w:spacing w:after="0" w:line="170"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The transactions have been recorded as acquisitions of a group of assets as the acquirees’ primary assets consist mainly of contractual rights to electricity supply. The purchase prices and the net assets acquired as of July 14, 2023 are as follows: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Cash consideration paid at closing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consideration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Villarrica</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Yguazu</w:t>
            </w:r>
          </w:p>
        </w:tc>
      </w:tr>
      <w:tr>
        <w:trPr>
          <w:trHeight w:val="647"/>
        </w:trPr>
        <w:tc>
          <w:tcPr>
            <w:tcW w:w="740" w:type="dxa"/>
            <w:vAlign w:val="bottom"/>
          </w:tcPr>
          <w:p>
            <w:pPr>
              <w:spacing w:after="0"/>
              <w:rPr>
                <w:sz w:val="24"/>
                <w:szCs w:val="24"/>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95</w:t>
            </w: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4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1,000</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40" w:type="dxa"/>
            <w:vAlign w:val="bottom"/>
          </w:tcPr>
          <w:p>
            <w:pPr>
              <w:spacing w:after="0"/>
              <w:rPr>
                <w:sz w:val="21"/>
                <w:szCs w:val="21"/>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40" w:type="dxa"/>
            <w:vAlign w:val="bottom"/>
          </w:tcPr>
          <w:p>
            <w:pPr>
              <w:spacing w:after="0"/>
              <w:rPr>
                <w:sz w:val="22"/>
                <w:szCs w:val="22"/>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1,112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-591185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-316865</wp:posOffset>
            </wp:positionV>
            <wp:extent cx="713232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-873760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904"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 and other current assets</w:t>
            </w:r>
          </w:p>
        </w:tc>
        <w:tc>
          <w:tcPr>
            <w:tcW w:w="2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 access rights to electricity</w:t>
            </w:r>
          </w:p>
        </w:tc>
        <w:tc>
          <w:tcPr>
            <w:tcW w:w="2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43"/>
        </w:trPr>
        <w:tc>
          <w:tcPr>
            <w:tcW w:w="5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1,112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454</w:t>
            </w:r>
          </w:p>
        </w:tc>
      </w:tr>
      <w:tr>
        <w:trPr>
          <w:trHeight w:val="432"/>
        </w:trPr>
        <w:tc>
          <w:tcPr>
            <w:tcW w:w="5780" w:type="dxa"/>
            <w:vAlign w:val="bottom"/>
          </w:tcPr>
          <w:p>
            <w:pPr>
              <w:spacing w:after="0"/>
              <w:rPr>
                <w:sz w:val="20"/>
                <w:szCs w:val="20"/>
                <w:color w:val="auto"/>
              </w:rPr>
            </w:pPr>
            <w:r>
              <w:rPr>
                <w:rFonts w:ascii="Arial" w:cs="Arial" w:eastAsia="Arial" w:hAnsi="Arial"/>
                <w:sz w:val="18"/>
                <w:szCs w:val="18"/>
                <w:b w:val="1"/>
                <w:bCs w:val="1"/>
                <w:color w:val="auto"/>
              </w:rPr>
              <w:t>NOTE 6:   OTHER ASSETS</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5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57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57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Sales taxes receivable*</w:t>
            </w:r>
          </w:p>
        </w:tc>
        <w:tc>
          <w:tcPr>
            <w:tcW w:w="2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5,961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Electrical component inventory</w:t>
            </w:r>
          </w:p>
        </w:tc>
        <w:tc>
          <w:tcPr>
            <w:tcW w:w="28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730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8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5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7,102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Refer to Note 22c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12  Page</w:t>
      </w:r>
    </w:p>
    <w:p>
      <w:pPr>
        <w:sectPr>
          <w:pgSz w:w="11900" w:h="16838" w:orient="portrait"/>
          <w:cols w:equalWidth="0" w:num="1">
            <w:col w:w="11240"/>
          </w:cols>
          <w:pgMar w:left="320" w:top="90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BTC transactions and the corresponding values for the three and nine months ended September 30, 2023 and 2022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89"/>
              </w:rPr>
              <w:t>Three months ended September 30,</w:t>
            </w:r>
          </w:p>
        </w:tc>
        <w:tc>
          <w:tcPr>
            <w:tcW w:w="1040" w:type="dxa"/>
            <w:vAlign w:val="bottom"/>
            <w:tcBorders>
              <w:bottom w:val="single" w:sz="8" w:color="auto"/>
            </w:tcBorders>
          </w:tcPr>
          <w:p>
            <w:pPr>
              <w:spacing w:after="0"/>
              <w:rPr>
                <w:sz w:val="20"/>
                <w:szCs w:val="20"/>
                <w:color w:val="auto"/>
              </w:rPr>
            </w:pPr>
          </w:p>
        </w:tc>
      </w:tr>
      <w:tr>
        <w:trPr>
          <w:trHeight w:val="237"/>
        </w:trPr>
        <w:tc>
          <w:tcPr>
            <w:tcW w:w="6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37"/>
        </w:trPr>
        <w:tc>
          <w:tcPr>
            <w:tcW w:w="6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Quantity</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r>
      <w:tr>
        <w:trPr>
          <w:trHeight w:val="195"/>
        </w:trPr>
        <w:tc>
          <w:tcPr>
            <w:tcW w:w="6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of digital assets including digital assets pledged as collateral as of</w:t>
            </w: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7"/>
        </w:trPr>
        <w:tc>
          <w:tcPr>
            <w:tcW w:w="6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July 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16,734</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3,144</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62,204</w:t>
            </w: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BTC earned*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32,899</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1,515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BTC exchanged for cash and services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(28,354)</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Realized loss on disposition of digital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(425)</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(44,329)</w:t>
            </w:r>
          </w:p>
        </w:tc>
      </w:tr>
      <w:tr>
        <w:trPr>
          <w:trHeight w:val="243"/>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unrealized gain (loss) on revaluation of digital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(1,879)</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45,655</w:t>
            </w:r>
          </w:p>
        </w:tc>
      </w:tr>
      <w:tr>
        <w:trPr>
          <w:trHeight w:val="191"/>
        </w:trPr>
        <w:tc>
          <w:tcPr>
            <w:tcW w:w="604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Balance of digital assets including digital assets pledged as collateral as of</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1"/>
        </w:trPr>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18,975</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2,064</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40,111</w:t>
            </w:r>
          </w:p>
        </w:tc>
      </w:tr>
      <w:tr>
        <w:trPr>
          <w:trHeight w:val="237"/>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digital assets pledged as collateral as of September 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(2,166)</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(33,496)</w:t>
            </w:r>
          </w:p>
        </w:tc>
      </w:tr>
      <w:tr>
        <w:trPr>
          <w:trHeight w:val="191"/>
        </w:trPr>
        <w:tc>
          <w:tcPr>
            <w:tcW w:w="6040" w:type="dxa"/>
            <w:vAlign w:val="bottom"/>
          </w:tcPr>
          <w:p>
            <w:pPr>
              <w:spacing w:after="0" w:line="191" w:lineRule="exact"/>
              <w:rPr>
                <w:sz w:val="20"/>
                <w:szCs w:val="20"/>
                <w:color w:val="auto"/>
              </w:rPr>
            </w:pPr>
            <w:r>
              <w:rPr>
                <w:rFonts w:ascii="Arial" w:cs="Arial" w:eastAsia="Arial" w:hAnsi="Arial"/>
                <w:sz w:val="18"/>
                <w:szCs w:val="18"/>
                <w:b w:val="1"/>
                <w:bCs w:val="1"/>
                <w:color w:val="auto"/>
                <w:w w:val="92"/>
              </w:rPr>
              <w:t>Balance of digital assets excluding digital assets pledged as collateral as of</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8"/>
        </w:trPr>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16,809</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340</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6,615</w:t>
            </w:r>
          </w:p>
        </w:tc>
      </w:tr>
      <w:tr>
        <w:trPr>
          <w:trHeight w:val="459"/>
        </w:trPr>
        <w:tc>
          <w:tcPr>
            <w:tcW w:w="6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0"/>
              </w:rPr>
              <w:t>Nine months ended September 30,</w:t>
            </w:r>
          </w:p>
        </w:tc>
        <w:tc>
          <w:tcPr>
            <w:tcW w:w="1040" w:type="dxa"/>
            <w:vAlign w:val="bottom"/>
            <w:tcBorders>
              <w:bottom w:val="single" w:sz="8" w:color="auto"/>
            </w:tcBorders>
          </w:tcPr>
          <w:p>
            <w:pPr>
              <w:spacing w:after="0"/>
              <w:rPr>
                <w:sz w:val="24"/>
                <w:szCs w:val="24"/>
                <w:color w:val="auto"/>
              </w:rPr>
            </w:pPr>
          </w:p>
        </w:tc>
      </w:tr>
      <w:tr>
        <w:trPr>
          <w:trHeight w:val="237"/>
        </w:trPr>
        <w:tc>
          <w:tcPr>
            <w:tcW w:w="6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36"/>
        </w:trPr>
        <w:tc>
          <w:tcPr>
            <w:tcW w:w="6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Quantity</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r>
      <w:tr>
        <w:trPr>
          <w:trHeight w:val="195"/>
        </w:trPr>
        <w:tc>
          <w:tcPr>
            <w:tcW w:w="6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of digital assets including digital assets pledged as collateral as of</w:t>
            </w: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7"/>
        </w:trPr>
        <w:tc>
          <w:tcPr>
            <w:tcW w:w="6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January 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6,705</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3,301</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152,856</w:t>
            </w: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BTC earned*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3,692</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96,350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3,733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113,049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BTC purchased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43,237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BTC exchanged for cash and services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(3,394)</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(87,724)</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(5,970)</w:t>
            </w:r>
          </w:p>
        </w:tc>
        <w:tc>
          <w:tcPr>
            <w:tcW w:w="1040" w:type="dxa"/>
            <w:vAlign w:val="bottom"/>
          </w:tcPr>
          <w:p>
            <w:pPr>
              <w:jc w:val="right"/>
              <w:spacing w:after="0"/>
              <w:rPr>
                <w:sz w:val="20"/>
                <w:szCs w:val="20"/>
                <w:color w:val="auto"/>
              </w:rPr>
            </w:pPr>
            <w:r>
              <w:rPr>
                <w:rFonts w:ascii="Arial" w:cs="Arial" w:eastAsia="Arial" w:hAnsi="Arial"/>
                <w:sz w:val="18"/>
                <w:szCs w:val="18"/>
                <w:color w:val="auto"/>
              </w:rPr>
              <w:t>(125,670)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1,272</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(122,243)</w:t>
            </w:r>
          </w:p>
        </w:tc>
      </w:tr>
      <w:tr>
        <w:trPr>
          <w:trHeight w:val="24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unrealized gain (loss) on revaluation of digital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2,372</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(21,118)</w:t>
            </w:r>
          </w:p>
        </w:tc>
      </w:tr>
      <w:tr>
        <w:trPr>
          <w:trHeight w:val="191"/>
        </w:trPr>
        <w:tc>
          <w:tcPr>
            <w:tcW w:w="60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3"/>
              </w:rPr>
              <w:t>Balance of digital assets including digital assets pledged as collateral as of</w:t>
            </w: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1"/>
        </w:trPr>
        <w:tc>
          <w:tcPr>
            <w:tcW w:w="6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18,975</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2,064</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40,111</w:t>
            </w:r>
          </w:p>
        </w:tc>
      </w:tr>
      <w:tr>
        <w:trPr>
          <w:trHeight w:val="237"/>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digital assets pledged as collateral as of September 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(2,166)</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(33,496)</w:t>
            </w:r>
          </w:p>
        </w:tc>
      </w:tr>
      <w:tr>
        <w:trPr>
          <w:trHeight w:val="191"/>
        </w:trPr>
        <w:tc>
          <w:tcPr>
            <w:tcW w:w="60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Balance of digital assets excluding digital assets pledged as collateral as of</w:t>
            </w: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8"/>
        </w:trPr>
        <w:tc>
          <w:tcPr>
            <w:tcW w:w="6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16,809</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340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6,615</w:t>
            </w:r>
          </w:p>
        </w:tc>
      </w:tr>
    </w:tbl>
    <w:p>
      <w:pPr>
        <w:spacing w:after="0" w:line="202" w:lineRule="exact"/>
        <w:rPr>
          <w:sz w:val="20"/>
          <w:szCs w:val="20"/>
          <w:color w:val="auto"/>
        </w:rPr>
      </w:pPr>
    </w:p>
    <w:p>
      <w:pPr>
        <w:ind w:firstLine="8"/>
        <w:spacing w:after="0" w:line="284" w:lineRule="auto"/>
        <w:tabs>
          <w:tab w:leader="none" w:pos="162"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 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and nine months ended September 30, 2023, a loss of $824, net of $297 of deferred income tax recovery, and a gain of $1,567, net of $565 of deferred income tax expense, respectively, were presented in Other comprehensive income (three and nine months ended September 30, 2022: nil and nil, respectively).</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Refer to Note 13 for details of the Company’s long-term debt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13  Page</w:t>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tab/>
        <w:t>IMPAIRMENT</w:t>
      </w:r>
    </w:p>
    <w:p>
      <w:pPr>
        <w:spacing w:after="0" w:line="229" w:lineRule="exact"/>
        <w:rPr>
          <w:sz w:val="20"/>
          <w:szCs w:val="20"/>
          <w:color w:val="auto"/>
        </w:rPr>
      </w:pPr>
    </w:p>
    <w:p>
      <w:pPr>
        <w:jc w:val="both"/>
        <w:ind w:left="20" w:hanging="4"/>
        <w:spacing w:after="0" w:line="263" w:lineRule="auto"/>
        <w:rPr>
          <w:sz w:val="20"/>
          <w:szCs w:val="20"/>
          <w:color w:val="auto"/>
        </w:rPr>
      </w:pPr>
      <w:r>
        <w:rPr>
          <w:rFonts w:ascii="Arial" w:cs="Arial" w:eastAsia="Arial" w:hAnsi="Arial"/>
          <w:sz w:val="18"/>
          <w:szCs w:val="18"/>
          <w:color w:val="auto"/>
        </w:rPr>
        <w:t>The impairment loss on short-term prepaid deposits, equipment and construction prepayments, property, plant and equipment and right-of-use assets for three and nine months ended September 30, 2023 were nil and $9,982, respectively (three and nine months ended September 30, 2022: $84,116 for both periods).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on short-term prepaid deposits during the second quarter of 2023</w:t>
      </w:r>
    </w:p>
    <w:p>
      <w:pPr>
        <w:spacing w:after="0" w:line="2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 During the three months ended June 30, 2023, the Company decided to terminate the importation agreements with the external brokers as of June 30, 2023.</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loss</w:t>
      </w:r>
    </w:p>
    <w:p>
      <w:pPr>
        <w:spacing w:after="0" w:line="23"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The Company assumed the cost of terminating the importation agreements with the brokers in order to execute its new importation strategy, resulting in the Company forgoing a balance of $6,982 of deposits. Accordingly, as of June 30, 2023, the Company impaired $6,982 of short-term prepaid deposits. This impairment is presented in the consolidated statements of profit or loss and comprehensive profit or loss under Impairment on short-term prepaid deposits and property, plant and equipment.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on mineral assets during the second quarter of 2023</w:t>
      </w:r>
    </w:p>
    <w:p>
      <w:pPr>
        <w:spacing w:after="0" w:line="2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9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loss</w:t>
      </w:r>
    </w:p>
    <w:p>
      <w:pPr>
        <w:spacing w:after="0" w:line="23" w:lineRule="exact"/>
        <w:rPr>
          <w:sz w:val="20"/>
          <w:szCs w:val="20"/>
          <w:color w:val="auto"/>
        </w:rPr>
      </w:pPr>
    </w:p>
    <w:p>
      <w:pPr>
        <w:jc w:val="both"/>
        <w:ind w:left="20" w:hanging="4"/>
        <w:spacing w:after="0" w:line="273" w:lineRule="auto"/>
        <w:rPr>
          <w:sz w:val="20"/>
          <w:szCs w:val="20"/>
          <w:color w:val="auto"/>
        </w:rPr>
      </w:pPr>
      <w:r>
        <w:rPr>
          <w:rFonts w:ascii="Arial" w:cs="Arial" w:eastAsia="Arial" w:hAnsi="Arial"/>
          <w:sz w:val="17"/>
          <w:szCs w:val="17"/>
          <w:color w:val="auto"/>
        </w:rPr>
        <w:t>During the three months ended June 30, 2023, in connection with the planned disposal of the Suni mineral asset, management tested the cash-generating unit for impairment, resulting in a further impairment charge of $3,000 and bringing the carrying amount to nil. This impairment charge is presented in the consolidated statements of profit or loss and comprehensive profit or loss under Impairment on short-term prepaid deposits and property, plant and equipment.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14  Page</w:t>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BVVE and</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electrical</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Mineral</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Land and</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Leasehold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4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Notes</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components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buildings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improvements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Vehicles</w:t>
            </w: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0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37"/>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308,205</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4,392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45,278</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1,082</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367,957</w:t>
            </w: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Additions</w:t>
            </w:r>
          </w:p>
        </w:tc>
        <w:tc>
          <w:tcPr>
            <w:tcW w:w="9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57,614</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456</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5,112</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200</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63,382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Additions related to asset acquisitions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Dispositions</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(6,410)</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(9,000)</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(15,489)</w:t>
            </w:r>
          </w:p>
        </w:tc>
      </w:tr>
      <w:tr>
        <w:trPr>
          <w:trHeight w:val="24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9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(5,695)</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(5,695)</w:t>
            </w:r>
          </w:p>
        </w:tc>
      </w:t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September 30, 2023</w:t>
            </w: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353,727</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4,848</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50,415</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1,208</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410,198</w:t>
            </w:r>
          </w:p>
        </w:tc>
      </w:tr>
      <w:tr>
        <w:trPr>
          <w:trHeight w:val="209"/>
        </w:trPr>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Depreciation</w:t>
            </w: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41"/>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120,097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21,636</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526</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148,529</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57,778</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2,498</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132</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60,522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(14,155)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(4,938)</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(4,938)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r>
      <w:tr>
        <w:trPr>
          <w:trHeight w:val="24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deposits transferred to PPE</w:t>
            </w:r>
          </w:p>
        </w:tc>
        <w:tc>
          <w:tcPr>
            <w:tcW w:w="9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13,319</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469</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13,788</w:t>
            </w:r>
          </w:p>
        </w:tc>
      </w:tr>
      <w:tr>
        <w:trPr>
          <w:trHeight w:val="237"/>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181,162</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384</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24,598</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206,746</w:t>
            </w:r>
          </w:p>
        </w:tc>
      </w:tr>
      <w:tr>
        <w:trPr>
          <w:trHeight w:val="236"/>
        </w:trPr>
        <w:tc>
          <w:tcPr>
            <w:tcW w:w="4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4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 as of September 30, 2023</w:t>
            </w:r>
          </w:p>
        </w:tc>
        <w:tc>
          <w:tcPr>
            <w:tcW w:w="9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172,565</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4,464</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25,817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606</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203,452</w:t>
            </w:r>
          </w:p>
        </w:tc>
      </w:tr>
      <w:tr>
        <w:trPr>
          <w:trHeight w:val="441"/>
        </w:trPr>
        <w:tc>
          <w:tcPr>
            <w:tcW w:w="4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BVVE and</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electrical</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Mineral</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Land and</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Leasehold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4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components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buildings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improvements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Vehicles</w:t>
            </w: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41"/>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156,647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4,549</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5,783</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176,526</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w w:val="99"/>
              </w:rPr>
              <w:t>Measurement period adjustment to business combination</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164,437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39,495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207,723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Dispositions</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(3,378)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(7,004)</w:t>
            </w:r>
          </w:p>
        </w:tc>
      </w:tr>
      <w:tr>
        <w:trPr>
          <w:trHeight w:val="24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9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2022</w:t>
            </w: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308,205</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9,000</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4,392</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45,278</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1,082</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367,957</w:t>
            </w:r>
          </w:p>
        </w:tc>
      </w:tr>
      <w:tr>
        <w:trPr>
          <w:trHeight w:val="210"/>
        </w:trPr>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Depreciation</w:t>
            </w: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41"/>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35,766</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39,676</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66,319</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1,703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68,339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(6,040)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24,820</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13,107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42,435</w:t>
            </w:r>
          </w:p>
        </w:tc>
      </w:tr>
      <w:tr>
        <w:trPr>
          <w:trHeight w:val="24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deposits transferred to PPE</w:t>
            </w:r>
          </w:p>
        </w:tc>
        <w:tc>
          <w:tcPr>
            <w:tcW w:w="9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1,794</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5,266</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7,060</w:t>
            </w:r>
          </w:p>
        </w:tc>
      </w:tr>
      <w:tr>
        <w:trPr>
          <w:trHeight w:val="236"/>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120,097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21,636</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148,529</w:t>
            </w:r>
          </w:p>
        </w:tc>
      </w:tr>
      <w:tr>
        <w:trPr>
          <w:trHeight w:val="236"/>
        </w:trPr>
        <w:tc>
          <w:tcPr>
            <w:tcW w:w="4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44"/>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book value as of December 31, 2022</w:t>
            </w:r>
          </w:p>
        </w:tc>
        <w:tc>
          <w:tcPr>
            <w:tcW w:w="9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188,108</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23,642</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219,428</w:t>
            </w:r>
          </w:p>
        </w:tc>
      </w:tr>
      <w:tr>
        <w:trPr>
          <w:trHeight w:val="439"/>
        </w:trPr>
        <w:tc>
          <w:tcPr>
            <w:tcW w:w="4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0"/>
              </w:rPr>
              <w:t>Page</w:t>
            </w: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BVVE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Further details of the quantity and models of BTC BVVE held by the Company as of September 30, 2023 and December 31, 2022 are as follows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MicroBT</w:t>
            </w:r>
          </w:p>
        </w:tc>
        <w:tc>
          <w:tcPr>
            <w:tcW w:w="1200" w:type="dxa"/>
            <w:vAlign w:val="bottom"/>
          </w:tcPr>
          <w:p>
            <w:pPr>
              <w:ind w:left="340"/>
              <w:spacing w:after="0"/>
              <w:rPr>
                <w:sz w:val="20"/>
                <w:szCs w:val="20"/>
                <w:color w:val="auto"/>
              </w:rPr>
            </w:pPr>
            <w:r>
              <w:rPr>
                <w:rFonts w:ascii="Arial" w:cs="Arial" w:eastAsia="Arial" w:hAnsi="Arial"/>
                <w:sz w:val="18"/>
                <w:szCs w:val="18"/>
                <w:b w:val="1"/>
                <w:bCs w:val="1"/>
                <w:color w:val="auto"/>
              </w:rPr>
              <w:t>Bitmain</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Innosilicon</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Bitmain</w:t>
            </w:r>
          </w:p>
        </w:tc>
        <w:tc>
          <w:tcPr>
            <w:tcW w:w="980" w:type="dxa"/>
            <w:vAlign w:val="bottom"/>
          </w:tcPr>
          <w:p>
            <w:pPr>
              <w:spacing w:after="0"/>
              <w:rPr>
                <w:sz w:val="18"/>
                <w:szCs w:val="18"/>
                <w:color w:val="auto"/>
              </w:rPr>
            </w:pPr>
          </w:p>
        </w:tc>
      </w:tr>
      <w:tr>
        <w:trPr>
          <w:trHeight w:val="234"/>
        </w:trPr>
        <w:tc>
          <w:tcPr>
            <w:tcW w:w="39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Whatsminer*</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S19j Pro</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6"/>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as of January 1, 2023</w:t>
            </w:r>
          </w:p>
        </w:tc>
        <w:tc>
          <w:tcPr>
            <w:tcW w:w="2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45,375</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7,172</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58,258</w:t>
            </w: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jc w:val="right"/>
              <w:ind w:right="290"/>
              <w:spacing w:after="0"/>
              <w:rPr>
                <w:sz w:val="20"/>
                <w:szCs w:val="20"/>
                <w:color w:val="auto"/>
              </w:rPr>
            </w:pPr>
            <w:r>
              <w:rPr>
                <w:rFonts w:ascii="Arial" w:cs="Arial" w:eastAsia="Arial" w:hAnsi="Arial"/>
                <w:sz w:val="18"/>
                <w:szCs w:val="18"/>
                <w:b w:val="1"/>
                <w:bCs w:val="1"/>
                <w:color w:val="auto"/>
              </w:rPr>
              <w:t>7,735</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9,289</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409</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17,433</w:t>
            </w:r>
          </w:p>
        </w:tc>
      </w:tr>
      <w:tr>
        <w:trPr>
          <w:trHeight w:val="24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Dispositions</w:t>
            </w:r>
          </w:p>
        </w:tc>
        <w:tc>
          <w:tcPr>
            <w:tcW w:w="2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(1,380)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(2,591)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(4,380)</w:t>
            </w:r>
          </w:p>
        </w:tc>
      </w:tr>
      <w:tr>
        <w:trPr>
          <w:trHeight w:val="24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Quantity as of September 30, 2023</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51,730</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16,461</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3,120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71,311</w:t>
            </w:r>
          </w:p>
        </w:tc>
      </w:tr>
      <w:tr>
        <w:trPr>
          <w:trHeight w:val="24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Classified as assets held for sale</w:t>
            </w:r>
          </w:p>
        </w:tc>
        <w:tc>
          <w:tcPr>
            <w:tcW w:w="2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(1,132)</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(3,120)</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(4,252)</w:t>
            </w:r>
          </w:p>
        </w:tc>
      </w:tr>
      <w:tr>
        <w:trPr>
          <w:trHeight w:val="24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Presented as property, plant and equipment</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50,598</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16,461</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67,059</w:t>
            </w:r>
          </w:p>
        </w:tc>
      </w:tr>
    </w:tbl>
    <w:p>
      <w:pPr>
        <w:spacing w:after="0" w:line="202" w:lineRule="exact"/>
        <w:rPr>
          <w:sz w:val="20"/>
          <w:szCs w:val="20"/>
          <w:color w:val="auto"/>
        </w:rPr>
      </w:pPr>
    </w:p>
    <w:p>
      <w:pPr>
        <w:ind w:right="1480" w:firstLine="8"/>
        <w:spacing w:after="0" w:line="527" w:lineRule="auto"/>
        <w:tabs>
          <w:tab w:leader="none" w:pos="1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1,132 M20S classified as assets held for sale, 36,018 M30S, 12,653 M31S and 1,927 M50 Miners as of September 30, 2023. ** Includes 1,848 T3 and 1,272 T2T Miners classified as assets held for sale as of September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Canaan</w:t>
            </w:r>
          </w:p>
        </w:tc>
        <w:tc>
          <w:tcPr>
            <w:tcW w:w="10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96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MicroBT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Bitmain</w:t>
            </w: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Innosilicon</w:t>
            </w: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Avalon</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Bitmain</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Bitmain</w:t>
            </w:r>
          </w:p>
        </w:tc>
        <w:tc>
          <w:tcPr>
            <w:tcW w:w="960" w:type="dxa"/>
            <w:vAlign w:val="bottom"/>
          </w:tcPr>
          <w:p>
            <w:pPr>
              <w:spacing w:after="0"/>
              <w:rPr>
                <w:sz w:val="18"/>
                <w:szCs w:val="18"/>
                <w:color w:val="auto"/>
              </w:rPr>
            </w:pPr>
          </w:p>
        </w:tc>
      </w:tr>
      <w:tr>
        <w:trPr>
          <w:trHeight w:val="234"/>
        </w:trPr>
        <w:tc>
          <w:tcPr>
            <w:tcW w:w="2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Whatsminer*</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S19j Pro</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T3 &amp; T2T**</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A10</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S19XP</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Antminers***</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6"/>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as of January 1, 2022</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18,675</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7,172</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6,446</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1,024</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8,073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41,390</w:t>
            </w: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Additions</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28,499</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801</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29,300</w:t>
            </w:r>
          </w:p>
        </w:tc>
      </w:tr>
      <w:tr>
        <w:trPr>
          <w:trHeight w:val="243"/>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Dispositions</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(1,799)</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(735)</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(8,073)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w:t>
            </w:r>
          </w:p>
        </w:tc>
      </w:tr>
      <w:tr>
        <w:trPr>
          <w:trHeight w:val="243"/>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Quantity as of December 31, 2022</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45,375</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7,172</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5,711</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58,258</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Classified as assets held for sale</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(2,512)</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(1,272)</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43"/>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Presented as ROU asset****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(3,000)</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195"/>
        </w:trPr>
        <w:tc>
          <w:tcPr>
            <w:tcW w:w="2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Presented as property, plant and</w:t>
            </w:r>
          </w:p>
        </w:tc>
        <w:tc>
          <w:tcPr>
            <w:tcW w:w="1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64"/>
        </w:trPr>
        <w:tc>
          <w:tcPr>
            <w:tcW w:w="2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39,863</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7,172</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4,439</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51,474</w:t>
            </w:r>
          </w:p>
        </w:tc>
      </w:tr>
    </w:tbl>
    <w:p>
      <w:pPr>
        <w:spacing w:after="0" w:line="202" w:lineRule="exact"/>
        <w:rPr>
          <w:sz w:val="20"/>
          <w:szCs w:val="20"/>
          <w:color w:val="auto"/>
        </w:rPr>
      </w:pPr>
    </w:p>
    <w:p>
      <w:pPr>
        <w:ind w:right="4240" w:firstLine="8"/>
        <w:spacing w:after="0" w:line="530" w:lineRule="auto"/>
        <w:tabs>
          <w:tab w:leader="none" w:pos="1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2,512 M20S classified as assets held for sale, 30,210 M30S and 12,653 M31S Miners. ** Includes 4,439 T3 and 1,272 T2T Miners classified as assets held for sale.</w:t>
      </w:r>
    </w:p>
    <w:p>
      <w:pPr>
        <w:spacing w:after="0"/>
        <w:rPr>
          <w:rFonts w:ascii="Arial" w:cs="Arial" w:eastAsia="Arial" w:hAnsi="Arial"/>
          <w:sz w:val="17"/>
          <w:szCs w:val="17"/>
          <w:color w:val="auto"/>
        </w:rPr>
      </w:pPr>
      <w:r>
        <w:rPr>
          <w:rFonts w:ascii="Arial" w:cs="Arial" w:eastAsia="Arial" w:hAnsi="Arial"/>
          <w:sz w:val="18"/>
          <w:szCs w:val="18"/>
          <w:color w:val="auto"/>
        </w:rPr>
        <w:t>*** Included Antminer T15 and Antminer S15 Miners classified as assets held for sale and written off.</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Includes 3,000 Whatsminer M31S+ with a net book value of approximately $3,330.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16  Page</w:t>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NOTE 10:  INTANGIBLE ASSETS</w:t>
            </w: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Systems</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Access rights</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Favorable</w:t>
            </w:r>
          </w:p>
        </w:tc>
        <w:tc>
          <w:tcPr>
            <w:tcW w:w="1020" w:type="dxa"/>
            <w:vAlign w:val="bottom"/>
          </w:tcPr>
          <w:p>
            <w:pPr>
              <w:spacing w:after="0"/>
              <w:rPr>
                <w:sz w:val="24"/>
                <w:szCs w:val="24"/>
                <w:color w:val="auto"/>
              </w:rPr>
            </w:pPr>
          </w:p>
        </w:tc>
      </w:tr>
      <w:tr>
        <w:trPr>
          <w:trHeight w:val="234"/>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Notes</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5,150</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7,150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Additions related to asset acquisitions</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5</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3,801</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3,801</w:t>
            </w:r>
          </w:p>
        </w:tc>
      </w:tr>
      <w:tr>
        <w:trPr>
          <w:trHeight w:val="243"/>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Additions</w:t>
            </w:r>
          </w:p>
        </w:tc>
        <w:tc>
          <w:tcPr>
            <w:tcW w:w="1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r>
      <w:tr>
        <w:trPr>
          <w:trHeight w:val="236"/>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5,170</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3,801</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10,971</w:t>
            </w:r>
          </w:p>
        </w:tc>
      </w:tr>
      <w:tr>
        <w:trPr>
          <w:trHeight w:val="210"/>
        </w:trPr>
        <w:tc>
          <w:tcPr>
            <w:tcW w:w="4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amortization</w:t>
            </w: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4"/>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5,117</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7,117</w:t>
            </w: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1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37"/>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5,134</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7,150</w:t>
            </w:r>
          </w:p>
        </w:tc>
      </w:tr>
      <w:tr>
        <w:trPr>
          <w:trHeight w:val="237"/>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43"/>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 as of September 30, 2023</w:t>
            </w:r>
          </w:p>
        </w:tc>
        <w:tc>
          <w:tcPr>
            <w:tcW w:w="1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3,785</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3,821</w:t>
            </w:r>
          </w:p>
        </w:tc>
      </w:tr>
      <w:tr>
        <w:trPr>
          <w:trHeight w:val="441"/>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Systems</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Access rights</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Favorable</w:t>
            </w:r>
          </w:p>
        </w:tc>
        <w:tc>
          <w:tcPr>
            <w:tcW w:w="1020" w:type="dxa"/>
            <w:vAlign w:val="bottom"/>
          </w:tcPr>
          <w:p>
            <w:pPr>
              <w:spacing w:after="0"/>
              <w:rPr>
                <w:sz w:val="24"/>
                <w:szCs w:val="24"/>
                <w:color w:val="auto"/>
              </w:rPr>
            </w:pPr>
          </w:p>
        </w:tc>
      </w:tr>
      <w:tr>
        <w:trPr>
          <w:trHeight w:val="234"/>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5,150</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6,950</w:t>
            </w: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Measurement period adjustment to business combination</w:t>
            </w:r>
          </w:p>
        </w:tc>
        <w:tc>
          <w:tcPr>
            <w:tcW w:w="1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5,150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7,150</w:t>
            </w:r>
          </w:p>
        </w:tc>
      </w:tr>
      <w:tr>
        <w:trPr>
          <w:trHeight w:val="210"/>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w:t>
            </w: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r>
      <w:tr>
        <w:trPr>
          <w:trHeight w:val="21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January 1, 2022</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5,008</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261</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5,269</w:t>
            </w:r>
          </w:p>
        </w:tc>
      </w:tr>
      <w:tr>
        <w:trPr>
          <w:trHeight w:val="236"/>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1,739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r>
      <w:tr>
        <w:trPr>
          <w:trHeight w:val="23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2022</w:t>
            </w: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5,117</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7,117</w:t>
            </w:r>
          </w:p>
        </w:tc>
      </w:tr>
      <w:tr>
        <w:trPr>
          <w:trHeight w:val="236"/>
        </w:trPr>
        <w:tc>
          <w:tcPr>
            <w:tcW w:w="47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r>
      <w:tr>
        <w:trPr>
          <w:trHeight w:val="24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 as of December 31, 2022</w:t>
            </w:r>
          </w:p>
        </w:tc>
        <w:tc>
          <w:tcPr>
            <w:tcW w:w="1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Additions related to acquisitions of assets</w:t>
      </w:r>
    </w:p>
    <w:p>
      <w:pPr>
        <w:spacing w:after="0" w:line="27" w:lineRule="exact"/>
        <w:rPr>
          <w:sz w:val="20"/>
          <w:szCs w:val="20"/>
          <w:color w:val="auto"/>
        </w:rPr>
      </w:pPr>
    </w:p>
    <w:p>
      <w:pPr>
        <w:jc w:val="both"/>
        <w:ind w:left="20" w:hanging="4"/>
        <w:spacing w:after="0" w:line="295" w:lineRule="auto"/>
        <w:rPr>
          <w:sz w:val="20"/>
          <w:szCs w:val="20"/>
          <w:color w:val="auto"/>
        </w:rPr>
      </w:pPr>
      <w:r>
        <w:rPr>
          <w:rFonts w:ascii="Arial" w:cs="Arial" w:eastAsia="Arial" w:hAnsi="Arial"/>
          <w:sz w:val="16"/>
          <w:szCs w:val="16"/>
          <w:color w:val="auto"/>
        </w:rPr>
        <w:t>During the three and nine months ended September 30, 2023, the Company made three acquisitions of groups of assets, resulting in additional access rights to electricity. These access rights represent a contractual right to hydro power capacity and are classified as intangible assets. The assets acquired, including these intangible assets, and the liabilities assumed were recognized and measured by allocating the fair value of the consideration paid to their relative fair values at the closing date of the transactions. Refer to Note 5 for more details. The following table summarizes these access rights: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Additions to</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Additional</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8"/>
              </w:rPr>
              <w:t>Term of contractual access</w:t>
            </w:r>
          </w:p>
        </w:tc>
        <w:tc>
          <w:tcPr>
            <w:tcW w:w="3560" w:type="dxa"/>
            <w:vAlign w:val="bottom"/>
          </w:tcPr>
          <w:p>
            <w:pPr>
              <w:spacing w:after="0"/>
              <w:rPr>
                <w:sz w:val="18"/>
                <w:szCs w:val="18"/>
                <w:color w:val="auto"/>
              </w:rPr>
            </w:pPr>
          </w:p>
        </w:tc>
      </w:tr>
      <w:tr>
        <w:trPr>
          <w:trHeight w:val="234"/>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intangibles</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capacity</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w:t>
            </w:r>
          </w:p>
        </w:tc>
        <w:tc>
          <w:tcPr>
            <w:tcW w:w="35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Amortization method and period</w:t>
            </w:r>
          </w:p>
        </w:tc>
      </w:tr>
      <w:tr>
        <w:trPr>
          <w:trHeight w:val="195"/>
        </w:trPr>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Baie-Comeau, Quebec</w:t>
            </w:r>
          </w:p>
        </w:tc>
        <w:tc>
          <w:tcPr>
            <w:tcW w:w="16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 termination date</w:t>
            </w:r>
          </w:p>
        </w:tc>
        <w:tc>
          <w:tcPr>
            <w:tcW w:w="356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Straight-line over the lease term of the</w:t>
            </w:r>
          </w:p>
        </w:tc>
      </w:tr>
      <w:tr>
        <w:trPr>
          <w:trHeight w:val="230"/>
        </w:trPr>
        <w:tc>
          <w:tcPr>
            <w:tcW w:w="20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MW</w:t>
            </w:r>
          </w:p>
        </w:tc>
        <w:tc>
          <w:tcPr>
            <w:tcW w:w="2600" w:type="dxa"/>
            <w:vAlign w:val="bottom"/>
            <w:shd w:val="clear" w:color="auto" w:fill="CCEEFF"/>
          </w:tcPr>
          <w:p>
            <w:pPr>
              <w:spacing w:after="0"/>
              <w:rPr>
                <w:sz w:val="20"/>
                <w:szCs w:val="20"/>
                <w:color w:val="auto"/>
              </w:rPr>
            </w:pPr>
          </w:p>
        </w:tc>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Villarrica, Paraguay</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1,065</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MW</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Ending in December 31, 2027</w:t>
            </w:r>
          </w:p>
        </w:tc>
        <w:tc>
          <w:tcPr>
            <w:tcW w:w="3560" w:type="dxa"/>
            <w:vAlign w:val="bottom"/>
          </w:tcPr>
          <w:p>
            <w:pPr>
              <w:ind w:left="240"/>
              <w:spacing w:after="0"/>
              <w:rPr>
                <w:sz w:val="20"/>
                <w:szCs w:val="20"/>
                <w:color w:val="auto"/>
              </w:rPr>
            </w:pPr>
            <w:r>
              <w:rPr>
                <w:rFonts w:ascii="Arial" w:cs="Arial" w:eastAsia="Arial" w:hAnsi="Arial"/>
                <w:sz w:val="18"/>
                <w:szCs w:val="18"/>
                <w:color w:val="auto"/>
                <w:w w:val="99"/>
              </w:rPr>
              <w:t>Straight-line over the access rights period</w:t>
            </w:r>
          </w:p>
        </w:tc>
      </w:tr>
      <w:tr>
        <w:trPr>
          <w:trHeight w:val="243"/>
        </w:trPr>
        <w:tc>
          <w:tcPr>
            <w:tcW w:w="2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Yguazu, Paraguay</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MW</w:t>
            </w:r>
          </w:p>
        </w:tc>
        <w:tc>
          <w:tcPr>
            <w:tcW w:w="2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Ending in December 31, 2027</w:t>
            </w:r>
          </w:p>
        </w:tc>
        <w:tc>
          <w:tcPr>
            <w:tcW w:w="3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9"/>
              </w:rPr>
              <w:t>Straight-line over the access rights period</w:t>
            </w:r>
          </w:p>
        </w:tc>
      </w:tr>
      <w:tr>
        <w:trPr>
          <w:trHeight w:val="244"/>
        </w:trPr>
        <w:tc>
          <w:tcPr>
            <w:tcW w:w="2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3,801</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172 MW</w:t>
            </w:r>
          </w:p>
        </w:tc>
        <w:tc>
          <w:tcPr>
            <w:tcW w:w="26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17  Page</w:t>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tab/>
        <w:t>LONG-TERM DEPOSITS, EQUIPMENT PREPAYMENTS, COMMITMENTS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56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56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2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Security deposits for energy, insurance and rent</w:t>
            </w:r>
          </w:p>
        </w:tc>
        <w:tc>
          <w:tcPr>
            <w:tcW w:w="268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5,219</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3,872</w:t>
            </w:r>
          </w:p>
        </w:tc>
      </w:tr>
      <w:tr>
        <w:trPr>
          <w:trHeight w:val="243"/>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 and construction prepayments</w:t>
            </w:r>
          </w:p>
        </w:tc>
        <w:tc>
          <w:tcPr>
            <w:tcW w:w="2680" w:type="dxa"/>
            <w:vAlign w:val="bottom"/>
            <w:tcBorders>
              <w:bottom w:val="single" w:sz="8" w:color="auto"/>
            </w:tcBorders>
            <w:shd w:val="clear" w:color="auto" w:fill="CCEEFF"/>
          </w:tcPr>
          <w:p>
            <w:pPr>
              <w:ind w:left="2240"/>
              <w:spacing w:after="0"/>
              <w:rPr>
                <w:sz w:val="20"/>
                <w:szCs w:val="20"/>
                <w:color w:val="auto"/>
              </w:rPr>
            </w:pPr>
            <w:r>
              <w:rPr>
                <w:rFonts w:ascii="Arial" w:cs="Arial" w:eastAsia="Arial" w:hAnsi="Arial"/>
                <w:sz w:val="18"/>
                <w:szCs w:val="18"/>
                <w:color w:val="auto"/>
              </w:rPr>
              <w:t>a</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21,464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32,230</w:t>
            </w:r>
          </w:p>
        </w:tc>
      </w:tr>
      <w:tr>
        <w:trPr>
          <w:trHeight w:val="243"/>
        </w:trPr>
        <w:tc>
          <w:tcPr>
            <w:tcW w:w="56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26,683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38,185</w:t>
            </w: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and construction prepayments</w:t>
      </w:r>
    </w:p>
    <w:p>
      <w:pPr>
        <w:spacing w:after="0" w:line="27" w:lineRule="exact"/>
        <w:rPr>
          <w:sz w:val="20"/>
          <w:szCs w:val="20"/>
          <w:color w:val="auto"/>
        </w:rPr>
      </w:pPr>
    </w:p>
    <w:p>
      <w:pPr>
        <w:jc w:val="both"/>
        <w:ind w:left="20" w:hanging="4"/>
        <w:spacing w:after="0" w:line="302" w:lineRule="auto"/>
        <w:rPr>
          <w:sz w:val="20"/>
          <w:szCs w:val="20"/>
          <w:color w:val="auto"/>
        </w:rPr>
      </w:pPr>
      <w:r>
        <w:rPr>
          <w:rFonts w:ascii="Arial" w:cs="Arial" w:eastAsia="Arial" w:hAnsi="Arial"/>
          <w:sz w:val="16"/>
          <w:szCs w:val="16"/>
          <w:color w:val="auto"/>
        </w:rPr>
        <w:t>As of September 30, 2023, the Company has deposits on BVVE and electrical components in the amount of $14,897, which includes $19,097 of credits for orders placed at fixed prices, but not yet received, as described below, with a book value of $13,127 due to previously recorded impairments of $5,930. In addition, the Company has deposits for construction work and materials in the amount of $6,567, mainly for the Paraguay expansion.</w:t>
      </w:r>
    </w:p>
    <w:p>
      <w:pPr>
        <w:spacing w:after="0" w:line="15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In December 2022, the Company renegotiated its previous purchase agreements for 48,000 Miners by extinguishing the outstanding commitments of $45,350 without penalty and establishing a $22,376 credit for deposits previously made which was fully utilized during the nine months ended September 30, 2023 for the acquisition of hydro Miners and hydro containers.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September 30, 2023, the Company had no commitments.</w:t>
      </w:r>
    </w:p>
    <w:p>
      <w:pPr>
        <w:spacing w:after="0" w:line="22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liability</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In 2021, the Company imported Miners into Washington State, which the Chinese manufacturer asserted originated in Malaysia. In early 2022, U.S. Customs and Border Protection challenged the origination of the Miners, asserting their manufacture in China, and notified the Company of a potential assessment of a U.S. importation duty of 25%. Since the request for information by U.S. Customs and Border Protection, the Company has been working with the manufacturer to validate their origination by visiting contract manufacturer sites, and by examining and documenting the manufacture and assembly of the Miners by the manufacturer and its third-party contractors.</w:t>
      </w:r>
    </w:p>
    <w:p>
      <w:pPr>
        <w:spacing w:after="0" w:line="191" w:lineRule="exact"/>
        <w:rPr>
          <w:sz w:val="20"/>
          <w:szCs w:val="20"/>
          <w:color w:val="auto"/>
        </w:rPr>
      </w:pPr>
    </w:p>
    <w:p>
      <w:pPr>
        <w:jc w:val="both"/>
        <w:ind w:left="20" w:hanging="4"/>
        <w:spacing w:after="0" w:line="301" w:lineRule="auto"/>
        <w:rPr>
          <w:sz w:val="20"/>
          <w:szCs w:val="20"/>
          <w:color w:val="auto"/>
        </w:rPr>
      </w:pPr>
      <w:r>
        <w:rPr>
          <w:rFonts w:ascii="Arial" w:cs="Arial" w:eastAsia="Arial" w:hAnsi="Arial"/>
          <w:sz w:val="16"/>
          <w:szCs w:val="16"/>
          <w:color w:val="auto"/>
        </w:rPr>
        <w:t>During the three months ended September 30, 2023, the Company has obtained documentary evidence of the Miners’ manufacture outside of China, and has sent the supporting documentation to the U.S. Customs and Border Protection in defense of its position that Miners were manufactured outside China and the related custom duties, in the amount of $9,424 do not apply. While the final outcome of this matter is uncertain at this time, management has determined it is not probable that it will result in a future cash outflow for the Company and, as such, no provision was recorded as of September 30, 2023.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12:  TRADE PAYABLES AND ACCRUED LIABILITIES</w:t>
            </w:r>
          </w:p>
        </w:tc>
        <w:tc>
          <w:tcPr>
            <w:tcW w:w="3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6900" w:type="dxa"/>
            <w:vAlign w:val="bottom"/>
          </w:tcPr>
          <w:p>
            <w:pPr>
              <w:spacing w:after="0"/>
              <w:rPr>
                <w:sz w:val="24"/>
                <w:szCs w:val="24"/>
                <w:color w:val="auto"/>
              </w:rPr>
            </w:pPr>
          </w:p>
        </w:tc>
        <w:tc>
          <w:tcPr>
            <w:tcW w:w="306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6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6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30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7,621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w:t>
            </w:r>
          </w:p>
        </w:tc>
      </w:tr>
      <w:tr>
        <w:trPr>
          <w:trHeight w:val="243"/>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Government remittances</w:t>
            </w: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9,038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7,644</w:t>
            </w:r>
          </w:p>
        </w:tc>
      </w:tr>
      <w:tr>
        <w:trPr>
          <w:trHeight w:val="243"/>
        </w:trPr>
        <w:tc>
          <w:tcPr>
            <w:tcW w:w="6900" w:type="dxa"/>
            <w:vAlign w:val="bottom"/>
            <w:tcBorders>
              <w:bottom w:val="single" w:sz="8" w:color="auto"/>
            </w:tcBorders>
            <w:shd w:val="clear" w:color="auto" w:fill="CCEEFF"/>
          </w:tcPr>
          <w:p>
            <w:pPr>
              <w:spacing w:after="0"/>
              <w:rPr>
                <w:sz w:val="21"/>
                <w:szCs w:val="21"/>
                <w:color w:val="auto"/>
              </w:rPr>
            </w:pPr>
          </w:p>
        </w:tc>
        <w:tc>
          <w:tcPr>
            <w:tcW w:w="3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16,659</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18  Page</w:t>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13:  LONG-TERM DEBT</w:t>
            </w:r>
          </w:p>
        </w:tc>
        <w:tc>
          <w:tcPr>
            <w:tcW w:w="4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58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7"/>
        </w:trPr>
        <w:tc>
          <w:tcPr>
            <w:tcW w:w="58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4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9,875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47,020</w:t>
            </w:r>
          </w:p>
        </w:tc>
      </w:tr>
      <w:tr>
        <w:trPr>
          <w:trHeight w:val="24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Vehicle loans</w:t>
            </w: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4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10,021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47,147</w:t>
            </w:r>
          </w:p>
        </w:tc>
      </w:tr>
      <w:tr>
        <w:trPr>
          <w:trHeight w:val="24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long-term debt</w:t>
            </w:r>
          </w:p>
        </w:tc>
        <w:tc>
          <w:tcPr>
            <w:tcW w:w="4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(43,054)</w:t>
            </w:r>
          </w:p>
        </w:tc>
      </w:tr>
      <w:tr>
        <w:trPr>
          <w:trHeight w:val="243"/>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Non-current portion of long-term debt</w:t>
            </w:r>
          </w:p>
        </w:tc>
        <w:tc>
          <w:tcPr>
            <w:tcW w:w="4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Movement in long-term debt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Gain on extinguishment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Interest on long-term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Balance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As of</w:t>
            </w:r>
          </w:p>
        </w:tc>
        <w:tc>
          <w:tcPr>
            <w:tcW w:w="1160" w:type="dxa"/>
            <w:vAlign w:val="bottom"/>
          </w:tcPr>
          <w:p>
            <w:pPr>
              <w:jc w:val="right"/>
              <w:spacing w:after="0"/>
              <w:rPr>
                <w:sz w:val="20"/>
                <w:szCs w:val="20"/>
                <w:color w:val="auto"/>
              </w:rPr>
            </w:pPr>
            <w:r>
              <w:rPr>
                <w:rFonts w:ascii="Arial" w:cs="Arial" w:eastAsia="Arial" w:hAnsi="Arial"/>
                <w:sz w:val="18"/>
                <w:szCs w:val="18"/>
                <w:color w:val="auto"/>
              </w:rPr>
              <w:t>As of</w:t>
            </w:r>
          </w:p>
        </w:tc>
      </w:tr>
      <w:tr>
        <w:trPr>
          <w:trHeight w:val="234"/>
        </w:trPr>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September 30,</w:t>
            </w:r>
          </w:p>
        </w:tc>
        <w:tc>
          <w:tcPr>
            <w:tcW w:w="1160" w:type="dxa"/>
            <w:vAlign w:val="bottom"/>
          </w:tcPr>
          <w:p>
            <w:pPr>
              <w:jc w:val="right"/>
              <w:spacing w:after="0"/>
              <w:rPr>
                <w:sz w:val="20"/>
                <w:szCs w:val="20"/>
                <w:color w:val="auto"/>
              </w:rPr>
            </w:pPr>
            <w:r>
              <w:rPr>
                <w:rFonts w:ascii="Arial" w:cs="Arial" w:eastAsia="Arial" w:hAnsi="Arial"/>
                <w:sz w:val="18"/>
                <w:szCs w:val="18"/>
                <w:color w:val="auto"/>
              </w:rPr>
              <w:t>December 31</w:t>
            </w:r>
          </w:p>
        </w:tc>
      </w:tr>
      <w:tr>
        <w:trPr>
          <w:trHeight w:val="256"/>
        </w:trPr>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1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16"/>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nine-month</w:t>
            </w:r>
          </w:p>
        </w:tc>
        <w:tc>
          <w:tcPr>
            <w:tcW w:w="1160" w:type="dxa"/>
            <w:vAlign w:val="bottom"/>
          </w:tcPr>
          <w:p>
            <w:pPr>
              <w:jc w:val="right"/>
              <w:spacing w:after="0"/>
              <w:rPr>
                <w:sz w:val="20"/>
                <w:szCs w:val="20"/>
                <w:color w:val="auto"/>
              </w:rPr>
            </w:pPr>
            <w:r>
              <w:rPr>
                <w:rFonts w:ascii="Arial" w:cs="Arial" w:eastAsia="Arial" w:hAnsi="Arial"/>
                <w:sz w:val="18"/>
                <w:szCs w:val="18"/>
                <w:color w:val="auto"/>
              </w:rPr>
              <w:t>twelve-month</w:t>
            </w:r>
          </w:p>
        </w:tc>
      </w:tr>
      <w:tr>
        <w:trPr>
          <w:trHeight w:val="230"/>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period</w:t>
            </w:r>
          </w:p>
        </w:tc>
      </w:tr>
      <w:tr>
        <w:trPr>
          <w:trHeight w:val="243"/>
        </w:trPr>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47,147</w:t>
            </w:r>
          </w:p>
        </w:tc>
        <w:tc>
          <w:tcPr>
            <w:tcW w:w="1160" w:type="dxa"/>
            <w:vAlign w:val="bottom"/>
          </w:tcPr>
          <w:p>
            <w:pPr>
              <w:jc w:val="right"/>
              <w:spacing w:after="0"/>
              <w:rPr>
                <w:sz w:val="20"/>
                <w:szCs w:val="20"/>
                <w:color w:val="auto"/>
              </w:rPr>
            </w:pPr>
            <w:r>
              <w:rPr>
                <w:rFonts w:ascii="Arial" w:cs="Arial" w:eastAsia="Arial" w:hAnsi="Arial"/>
                <w:sz w:val="18"/>
                <w:szCs w:val="18"/>
                <w:color w:val="auto"/>
              </w:rPr>
              <w:t>11,167</w:t>
            </w:r>
          </w:p>
        </w:tc>
      </w:tr>
    </w:tbl>
    <w:p>
      <w:pPr>
        <w:ind w:left="1940" w:hanging="1011"/>
        <w:spacing w:after="0"/>
        <w:tabs>
          <w:tab w:leader="none" w:pos="19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67,201</w:t>
      </w:r>
    </w:p>
    <w:p>
      <w:pPr>
        <w:spacing w:after="0" w:line="2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(27,006)</w:t>
      </w:r>
      <w:r>
        <w:rPr>
          <w:rFonts w:ascii="Arial" w:cs="Arial" w:eastAsia="Arial" w:hAnsi="Arial"/>
          <w:sz w:val="16"/>
          <w:szCs w:val="16"/>
          <w:color w:val="auto"/>
        </w:rPr>
        <w:t>(38,532)</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(12,580)</w:t>
      </w:r>
      <w:r>
        <w:rPr>
          <w:rFonts w:ascii="Arial" w:cs="Arial" w:eastAsia="Arial" w:hAnsi="Arial"/>
          <w:sz w:val="18"/>
          <w:szCs w:val="18"/>
          <w:color w:val="auto"/>
        </w:rPr>
        <w:t>—</w:t>
      </w:r>
    </w:p>
    <w:p>
      <w:pPr>
        <w:spacing w:after="0" w:line="1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2,405</w:t>
      </w:r>
      <w:r>
        <w:rPr>
          <w:rFonts w:ascii="Arial" w:cs="Arial" w:eastAsia="Arial" w:hAnsi="Arial"/>
          <w:sz w:val="15"/>
          <w:szCs w:val="15"/>
          <w:color w:val="auto"/>
        </w:rPr>
        <w:t>7,311</w:t>
      </w:r>
    </w:p>
    <w:p>
      <w:pPr>
        <w:spacing w:after="0" w:line="4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10,021</w:t>
      </w:r>
      <w:r>
        <w:rPr>
          <w:rFonts w:ascii="Arial" w:cs="Arial" w:eastAsia="Arial" w:hAnsi="Arial"/>
          <w:sz w:val="16"/>
          <w:szCs w:val="16"/>
          <w:color w:val="auto"/>
        </w:rPr>
        <w:t>47,147</w:t>
      </w:r>
    </w:p>
    <w:p>
      <w:pPr>
        <w:spacing w:after="0" w:line="200" w:lineRule="exact"/>
        <w:rPr>
          <w:sz w:val="20"/>
          <w:szCs w:val="20"/>
          <w:color w:val="auto"/>
        </w:rPr>
      </w:pPr>
    </w:p>
    <w:p>
      <w:pPr>
        <w:sectPr>
          <w:pgSz w:w="11900" w:h="16838" w:orient="portrait"/>
          <w:cols w:equalWidth="0" w:num="2">
            <w:col w:w="7980" w:space="720"/>
            <w:col w:w="2540"/>
          </w:cols>
          <w:pgMar w:left="320" w:top="904" w:right="339" w:bottom="1440" w:gutter="0" w:footer="0" w:header="0"/>
          <w:type w:val="continuous"/>
        </w:sectPr>
      </w:pPr>
    </w:p>
    <w:p>
      <w:pPr>
        <w:spacing w:after="0" w:line="52" w:lineRule="exact"/>
        <w:rPr>
          <w:sz w:val="20"/>
          <w:szCs w:val="20"/>
          <w:color w:val="auto"/>
        </w:rPr>
      </w:pPr>
    </w:p>
    <w:p>
      <w:pPr>
        <w:ind w:left="20" w:right="7940" w:hanging="12"/>
        <w:spacing w:after="0" w:line="313" w:lineRule="auto"/>
        <w:tabs>
          <w:tab w:leader="none" w:pos="653"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Equipment financing activity </w:t>
      </w:r>
      <w:r>
        <w:rPr>
          <w:rFonts w:ascii="Arial" w:cs="Arial" w:eastAsia="Arial" w:hAnsi="Arial"/>
          <w:sz w:val="15"/>
          <w:szCs w:val="15"/>
          <w:b w:val="1"/>
          <w:bCs w:val="1"/>
          <w:i w:val="1"/>
          <w:iCs w:val="1"/>
          <w:color w:val="auto"/>
        </w:rPr>
        <w:t>Repayment of Foundry Loans #2, #3 and #4</w:t>
      </w:r>
    </w:p>
    <w:p>
      <w:pPr>
        <w:jc w:val="both"/>
        <w:ind w:left="20" w:hanging="5"/>
        <w:spacing w:after="0" w:line="277" w:lineRule="auto"/>
        <w:rPr>
          <w:rFonts w:ascii="Arial" w:cs="Arial" w:eastAsia="Arial" w:hAnsi="Arial"/>
          <w:sz w:val="15"/>
          <w:szCs w:val="15"/>
          <w:b w:val="1"/>
          <w:bCs w:val="1"/>
          <w:color w:val="auto"/>
        </w:rPr>
      </w:pPr>
      <w:r>
        <w:rPr>
          <w:rFonts w:ascii="Arial" w:cs="Arial" w:eastAsia="Arial" w:hAnsi="Arial"/>
          <w:sz w:val="17"/>
          <w:szCs w:val="17"/>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Settlement of the loan with BlockFi Lending LLC (“BlockFi”)</w:t>
      </w:r>
    </w:p>
    <w:p>
      <w:pPr>
        <w:spacing w:after="0" w:line="23" w:lineRule="exact"/>
        <w:rPr>
          <w:sz w:val="20"/>
          <w:szCs w:val="20"/>
          <w:color w:val="auto"/>
        </w:rPr>
      </w:pPr>
    </w:p>
    <w:p>
      <w:pPr>
        <w:jc w:val="both"/>
        <w:ind w:left="20" w:right="20" w:hanging="4"/>
        <w:spacing w:after="0" w:line="255" w:lineRule="auto"/>
        <w:rPr>
          <w:sz w:val="20"/>
          <w:szCs w:val="20"/>
          <w:color w:val="auto"/>
        </w:rPr>
      </w:pPr>
      <w:r>
        <w:rPr>
          <w:rFonts w:ascii="Arial" w:cs="Arial" w:eastAsia="Arial" w:hAnsi="Arial"/>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90"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In December 2022, Backbone Mining ceased making installment payments, which constituted a default under the loan agreement, and the BlockFi Loan was classified as current.</w:t>
      </w:r>
    </w:p>
    <w:p>
      <w:pPr>
        <w:spacing w:after="0" w:line="170" w:lineRule="exact"/>
        <w:rPr>
          <w:sz w:val="20"/>
          <w:szCs w:val="20"/>
          <w:color w:val="auto"/>
        </w:rPr>
      </w:pPr>
    </w:p>
    <w:p>
      <w:pPr>
        <w:jc w:val="both"/>
        <w:ind w:left="20" w:hanging="4"/>
        <w:spacing w:after="0" w:line="279" w:lineRule="auto"/>
        <w:rPr>
          <w:sz w:val="20"/>
          <w:szCs w:val="20"/>
          <w:color w:val="auto"/>
        </w:rPr>
      </w:pPr>
      <w:r>
        <w:rPr>
          <w:rFonts w:ascii="Arial" w:cs="Arial" w:eastAsia="Arial" w:hAnsi="Arial"/>
          <w:sz w:val="17"/>
          <w:szCs w:val="17"/>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income in the consolidated statements of profit or loss and comprehensive profit or loss during the three months ended March 31,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19  Page</w:t>
      </w:r>
    </w:p>
    <w:p>
      <w:pPr>
        <w:sectPr>
          <w:pgSz w:w="11900" w:h="16838" w:orient="portrait"/>
          <w:cols w:equalWidth="0" w:num="1">
            <w:col w:w="11240"/>
          </w:cols>
          <w:pgMar w:left="320" w:top="90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financing activity </w:t>
      </w:r>
      <w:r>
        <w:rPr>
          <w:rFonts w:ascii="Arial" w:cs="Arial" w:eastAsia="Arial" w:hAnsi="Arial"/>
          <w:sz w:val="18"/>
          <w:szCs w:val="18"/>
          <w:color w:val="auto"/>
        </w:rPr>
        <w:t>(continued)</w:t>
      </w:r>
    </w:p>
    <w:p>
      <w:pPr>
        <w:spacing w:after="0" w:line="27" w:lineRule="exact"/>
        <w:rPr>
          <w:rFonts w:ascii="Arial" w:cs="Arial" w:eastAsia="Arial" w:hAnsi="Arial"/>
          <w:sz w:val="18"/>
          <w:szCs w:val="18"/>
          <w:b w:val="1"/>
          <w:bCs w:val="1"/>
          <w:color w:val="auto"/>
        </w:rPr>
      </w:pPr>
    </w:p>
    <w:p>
      <w:pPr>
        <w:ind w:left="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NYDIG Loan</w:t>
      </w:r>
    </w:p>
    <w:p>
      <w:pPr>
        <w:spacing w:after="0" w:line="9" w:lineRule="exact"/>
        <w:rPr>
          <w:rFonts w:ascii="Arial" w:cs="Arial" w:eastAsia="Arial" w:hAnsi="Arial"/>
          <w:sz w:val="18"/>
          <w:szCs w:val="18"/>
          <w:b w:val="1"/>
          <w:bCs w:val="1"/>
          <w:color w:val="auto"/>
        </w:rPr>
      </w:pPr>
    </w:p>
    <w:p>
      <w:pPr>
        <w:jc w:val="both"/>
        <w:ind w:left="20" w:hanging="5"/>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is required to maintain in a segregated wallet an approximate quantity of BTC whose value equates to at least one month of interest and principal payments on the outstanding loan. The Company pledged 80 BTC as collateral with a fair market value of $2,166 as of September 30, 2023. The pledged BTC is held in a segregated Coinbase Custody account, which BTC is owned by the Company unless there is an event of default under the NYDIG Loan.</w:t>
      </w:r>
    </w:p>
    <w:p>
      <w:pPr>
        <w:spacing w:after="0" w:line="189"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equipment financing</w:t>
      </w:r>
    </w:p>
    <w:p>
      <w:pPr>
        <w:spacing w:after="0" w:line="27" w:lineRule="exact"/>
        <w:rPr>
          <w:sz w:val="20"/>
          <w:szCs w:val="20"/>
          <w:color w:val="auto"/>
        </w:rPr>
      </w:pPr>
    </w:p>
    <w:p>
      <w:pPr>
        <w:ind w:left="20" w:hanging="4"/>
        <w:spacing w:after="0" w:line="260" w:lineRule="auto"/>
        <w:rPr>
          <w:sz w:val="20"/>
          <w:szCs w:val="20"/>
          <w:color w:val="auto"/>
        </w:rPr>
      </w:pPr>
      <w:r>
        <w:rPr>
          <w:rFonts w:ascii="Arial" w:cs="Arial" w:eastAsia="Arial" w:hAnsi="Arial"/>
          <w:sz w:val="18"/>
          <w:szCs w:val="18"/>
          <w:color w:val="auto"/>
        </w:rPr>
        <w:t>As of September 30, 2023, the Company’s equipment financing consisted only of the NYDIG Loan. The NYDIG Loan balance and the net book value (“NBV”) of its related collateral, as of September 30, 2023,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Monthly</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Long-term debt</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NBV of</w:t>
            </w:r>
          </w:p>
        </w:tc>
        <w:tc>
          <w:tcPr>
            <w:tcW w:w="1240" w:type="dxa"/>
            <w:vAlign w:val="bottom"/>
          </w:tcPr>
          <w:p>
            <w:pPr>
              <w:spacing w:after="0"/>
              <w:rPr>
                <w:sz w:val="18"/>
                <w:szCs w:val="18"/>
                <w:color w:val="auto"/>
              </w:rPr>
            </w:pPr>
          </w:p>
        </w:tc>
      </w:tr>
      <w:tr>
        <w:trPr>
          <w:trHeight w:val="234"/>
        </w:trPr>
        <w:tc>
          <w:tcPr>
            <w:tcW w:w="1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Maturity date</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Stated rate</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Effective rate*</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repayment ($)</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balance ($)</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Collateral ($)</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Collateral**</w:t>
            </w:r>
          </w:p>
        </w:tc>
      </w:tr>
      <w:tr>
        <w:trPr>
          <w:trHeight w:val="244"/>
        </w:trPr>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NYDIG Loan</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February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2,043</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9,875</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24,921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implied interest rate after capitalizing financing and origination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quantity of Whatsminers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20  Page</w:t>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LEASES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 out below are the carrying amounts of the Company’s right-of-use (“ROU”) assets and lease liabilities and their activity during the nine months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 2023 and the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liabilities</w:t>
            </w:r>
          </w:p>
        </w:tc>
      </w:tr>
      <w:tr>
        <w:trPr>
          <w:trHeight w:val="236"/>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17,864</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rPr>
              <w:t>1,019</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509</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1,528</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1,527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(364)</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(364)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Depreciation</w:t>
            </w:r>
          </w:p>
        </w:tc>
        <w:tc>
          <w:tcPr>
            <w:tcW w:w="2100" w:type="dxa"/>
            <w:vAlign w:val="bottom"/>
          </w:tcPr>
          <w:p>
            <w:pPr>
              <w:jc w:val="right"/>
              <w:ind w:right="250"/>
              <w:spacing w:after="0"/>
              <w:rPr>
                <w:sz w:val="20"/>
                <w:szCs w:val="20"/>
                <w:color w:val="auto"/>
              </w:rPr>
            </w:pPr>
            <w:r>
              <w:rPr>
                <w:rFonts w:ascii="Arial" w:cs="Arial" w:eastAsia="Arial" w:hAnsi="Arial"/>
                <w:sz w:val="18"/>
                <w:szCs w:val="18"/>
                <w:b w:val="1"/>
                <w:bCs w:val="1"/>
                <w:color w:val="auto"/>
              </w:rPr>
              <w:t>(2,198)</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(155)</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(26)</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(2,379)</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Payments</w:t>
            </w: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(3,905)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w:t>
            </w: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1,053</w:t>
            </w:r>
          </w:p>
        </w:tc>
      </w:tr>
      <w:tr>
        <w:trPr>
          <w:trHeight w:val="243"/>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r>
      <w:tr>
        <w:trPr>
          <w:trHeight w:val="23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September 30, 2023</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14,515</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578</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15</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15,108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16,282</w:t>
            </w:r>
          </w:p>
        </w:tc>
      </w:tr>
      <w:tr>
        <w:trPr>
          <w:trHeight w:val="237"/>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(3,114)</w:t>
            </w:r>
          </w:p>
        </w:tc>
      </w:tr>
      <w:tr>
        <w:trPr>
          <w:trHeight w:val="243"/>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portion of lease liabilities</w:t>
            </w:r>
          </w:p>
        </w:tc>
        <w:tc>
          <w:tcPr>
            <w:tcW w:w="2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13,168</w:t>
            </w:r>
          </w:p>
        </w:tc>
      </w:tr>
      <w:tr>
        <w:trPr>
          <w:trHeight w:val="414"/>
        </w:trPr>
        <w:tc>
          <w:tcPr>
            <w:tcW w:w="4060" w:type="dxa"/>
            <w:vAlign w:val="bottom"/>
          </w:tcPr>
          <w:p>
            <w:pPr>
              <w:spacing w:after="0"/>
              <w:rPr>
                <w:sz w:val="24"/>
                <w:szCs w:val="24"/>
                <w:color w:val="auto"/>
              </w:rPr>
            </w:pP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liabilities</w:t>
            </w:r>
          </w:p>
        </w:tc>
      </w:tr>
      <w:tr>
        <w:trPr>
          <w:trHeight w:val="236"/>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January 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9,038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76</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9,397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13,573</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9,526</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1,693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11,337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11,354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(1,975)</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Lease termination</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(111)</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(791)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(1,243)</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Payments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(7,528)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r>
      <w:tr>
        <w:trPr>
          <w:trHeight w:val="243"/>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36"/>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17,864</w:t>
            </w: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lease liabilities</w:t>
            </w:r>
          </w:p>
        </w:tc>
        <w:tc>
          <w:tcPr>
            <w:tcW w:w="2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r>
      <w:tr>
        <w:trPr>
          <w:trHeight w:val="243"/>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2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Reliz Lease</w:t>
      </w:r>
    </w:p>
    <w:p>
      <w:pPr>
        <w:spacing w:after="0" w:line="27" w:lineRule="exact"/>
        <w:rPr>
          <w:sz w:val="20"/>
          <w:szCs w:val="20"/>
          <w:color w:val="auto"/>
        </w:rPr>
      </w:pPr>
    </w:p>
    <w:p>
      <w:pPr>
        <w:jc w:val="both"/>
        <w:ind w:left="20" w:hanging="4"/>
        <w:spacing w:after="0" w:line="260" w:lineRule="auto"/>
        <w:rPr>
          <w:sz w:val="20"/>
          <w:szCs w:val="20"/>
          <w:color w:val="auto"/>
        </w:rPr>
      </w:pPr>
      <w:r>
        <w:rPr>
          <w:rFonts w:ascii="Arial" w:cs="Arial" w:eastAsia="Arial" w:hAnsi="Arial"/>
          <w:sz w:val="18"/>
          <w:szCs w:val="18"/>
          <w:color w:val="auto"/>
        </w:rPr>
        <w:t>In February 2023, the Company negotiated a modification to its lease agreement with Reliz Ltd. (where BlockFi was the lender to Reliz Ltd.) in order to settle its outstanding lease liability of $373 for a payment of $118. Refer to Note 22 for more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Baie-Comeau</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On July 5, 2023, in conjunction with the Baie-Comeau acquisition, the Company entered into a lease agreement with a third party for a site to install the infrastructure to operate the acquired capacity. The lease agreement is for an industrial site in Baie-Comeau for an initial term of 10 years at $16 (CAD$21) a month with an annual adjustment at the lesser of (i) the change in the Consumer Price Index and (ii) 3%. The lease agreement also provides the Company with the option to purchase the site for $2,248 (CAD$3,000) with an annual adjustment at the lesser of (i) the change in the Consumer Price Index and (ii) 3% throughout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21  Page</w:t>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tab/>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90"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As at September 30, 2023, the Company has analyzed the recoverability of its deferred tax assets and has concluded that it is not more likely than not that sufficient taxable profit is expected to utilize these deferred tax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Current and deferred income tax expense (recovery)</w:t>
            </w:r>
          </w:p>
        </w:tc>
        <w:tc>
          <w:tcPr>
            <w:tcW w:w="2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4"/>
        </w:trPr>
        <w:tc>
          <w:tcPr>
            <w:tcW w:w="52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40" w:type="dxa"/>
            <w:vAlign w:val="bottom"/>
          </w:tcPr>
          <w:p>
            <w:pPr>
              <w:spacing w:after="0"/>
              <w:rPr>
                <w:sz w:val="24"/>
                <w:szCs w:val="24"/>
                <w:color w:val="auto"/>
              </w:rPr>
            </w:pPr>
          </w:p>
        </w:tc>
        <w:tc>
          <w:tcPr>
            <w:tcW w:w="18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Nine months ended</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4"/>
        </w:trPr>
        <w:tc>
          <w:tcPr>
            <w:tcW w:w="5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7"/>
        </w:trPr>
        <w:tc>
          <w:tcPr>
            <w:tcW w:w="5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240" w:type="dxa"/>
            <w:vAlign w:val="bottom"/>
          </w:tcPr>
          <w:p>
            <w:pPr>
              <w:spacing w:after="0"/>
              <w:rPr>
                <w:sz w:val="20"/>
                <w:szCs w:val="20"/>
                <w:color w:val="auto"/>
              </w:rPr>
            </w:pPr>
            <w:r>
              <w:rPr>
                <w:rFonts w:ascii="Arial" w:cs="Arial" w:eastAsia="Arial" w:hAnsi="Arial"/>
                <w:sz w:val="18"/>
                <w:szCs w:val="18"/>
                <w:b w:val="1"/>
                <w:bCs w:val="1"/>
                <w:color w:val="auto"/>
              </w:rPr>
              <w:t>Current tax expense (recovery):</w:t>
            </w: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278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104</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(819)</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(9,220)</w:t>
            </w:r>
          </w:p>
        </w:tc>
      </w:tr>
      <w:tr>
        <w:trPr>
          <w:trHeight w:val="243"/>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w:t>
            </w:r>
          </w:p>
        </w:tc>
        <w:tc>
          <w:tcPr>
            <w:tcW w:w="2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182</w:t>
            </w:r>
          </w:p>
        </w:tc>
        <w:tc>
          <w:tcPr>
            <w:tcW w:w="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68</w:t>
            </w:r>
          </w:p>
        </w:tc>
      </w:tr>
      <w:tr>
        <w:trPr>
          <w:trHeight w:val="237"/>
        </w:trPr>
        <w:tc>
          <w:tcPr>
            <w:tcW w:w="5240" w:type="dxa"/>
            <w:vAlign w:val="bottom"/>
            <w:tcBorders>
              <w:bottom w:val="single" w:sz="8" w:color="auto"/>
            </w:tcBorders>
            <w:shd w:val="clear" w:color="auto" w:fill="CCEEFF"/>
          </w:tcPr>
          <w:p>
            <w:pPr>
              <w:spacing w:after="0"/>
              <w:rPr>
                <w:sz w:val="20"/>
                <w:szCs w:val="20"/>
                <w:color w:val="auto"/>
              </w:rPr>
            </w:pPr>
          </w:p>
        </w:tc>
        <w:tc>
          <w:tcPr>
            <w:tcW w:w="27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104</w:t>
            </w: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(819)</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542</w:t>
            </w:r>
          </w:p>
        </w:tc>
        <w:tc>
          <w:tcPr>
            <w:tcW w:w="5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(9,152)</w:t>
            </w:r>
          </w:p>
        </w:tc>
      </w:tr>
      <w:tr>
        <w:trPr>
          <w:trHeight w:val="209"/>
        </w:trPr>
        <w:tc>
          <w:tcPr>
            <w:tcW w:w="5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expense (recovery):</w:t>
            </w: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year</w:t>
            </w:r>
          </w:p>
        </w:tc>
        <w:tc>
          <w:tcPr>
            <w:tcW w:w="2780" w:type="dxa"/>
            <w:vAlign w:val="bottom"/>
          </w:tcPr>
          <w:p>
            <w:pPr>
              <w:jc w:val="right"/>
              <w:ind w:right="830"/>
              <w:spacing w:after="0"/>
              <w:rPr>
                <w:sz w:val="20"/>
                <w:szCs w:val="20"/>
                <w:color w:val="auto"/>
              </w:rPr>
            </w:pPr>
            <w:r>
              <w:rPr>
                <w:rFonts w:ascii="Arial" w:cs="Arial" w:eastAsia="Arial" w:hAnsi="Arial"/>
                <w:sz w:val="18"/>
                <w:szCs w:val="18"/>
                <w:b w:val="1"/>
                <w:bCs w:val="1"/>
                <w:color w:val="auto"/>
              </w:rPr>
              <w:t>297</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w w:val="87"/>
              </w:rPr>
              <w:t>(4,149)</w:t>
            </w: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(565)</w:t>
            </w: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(8,600)</w:t>
            </w:r>
          </w:p>
        </w:tc>
      </w:tr>
      <w:tr>
        <w:trPr>
          <w:trHeight w:val="243"/>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year</w:t>
            </w:r>
          </w:p>
        </w:tc>
        <w:tc>
          <w:tcPr>
            <w:tcW w:w="27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243</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5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297</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7"/>
              </w:rPr>
              <w:t>(3,906)</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(565)</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(8,451)</w:t>
            </w:r>
          </w:p>
        </w:tc>
      </w:tr>
      <w:tr>
        <w:trPr>
          <w:trHeight w:val="243"/>
        </w:trPr>
        <w:tc>
          <w:tcPr>
            <w:tcW w:w="5240" w:type="dxa"/>
            <w:vAlign w:val="bottom"/>
            <w:tcBorders>
              <w:bottom w:val="single" w:sz="8" w:color="auto"/>
            </w:tcBorders>
            <w:shd w:val="clear" w:color="auto" w:fill="CCEEFF"/>
          </w:tcPr>
          <w:p>
            <w:pPr>
              <w:spacing w:after="0"/>
              <w:rPr>
                <w:sz w:val="21"/>
                <w:szCs w:val="21"/>
                <w:color w:val="auto"/>
              </w:rPr>
            </w:pPr>
          </w:p>
        </w:tc>
        <w:tc>
          <w:tcPr>
            <w:tcW w:w="27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401</w:t>
            </w: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(4,725)</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(17,603)</w:t>
            </w:r>
          </w:p>
        </w:tc>
      </w:tr>
      <w:tr>
        <w:trPr>
          <w:trHeight w:val="439"/>
        </w:trPr>
        <w:tc>
          <w:tcPr>
            <w:tcW w:w="5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5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right w:val="single" w:sz="8" w:color="auto"/>
            </w:tcBorders>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0"/>
              </w:rPr>
              <w:t>Page</w:t>
            </w: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NOTE 16:  ASSET RETIREMENT PROVISION</w:t>
            </w:r>
          </w:p>
        </w:tc>
        <w:tc>
          <w:tcPr>
            <w:tcW w:w="3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6300" w:type="dxa"/>
            <w:vAlign w:val="bottom"/>
          </w:tcPr>
          <w:p>
            <w:pPr>
              <w:spacing w:after="0"/>
              <w:rPr>
                <w:sz w:val="24"/>
                <w:szCs w:val="24"/>
                <w:color w:val="auto"/>
              </w:rPr>
            </w:pPr>
          </w:p>
        </w:tc>
        <w:tc>
          <w:tcPr>
            <w:tcW w:w="366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63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63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195"/>
        </w:trPr>
        <w:tc>
          <w:tcPr>
            <w:tcW w:w="6300" w:type="dxa"/>
            <w:vAlign w:val="bottom"/>
          </w:tcPr>
          <w:p>
            <w:pPr>
              <w:spacing w:after="0"/>
              <w:rPr>
                <w:sz w:val="16"/>
                <w:szCs w:val="16"/>
                <w:color w:val="auto"/>
              </w:rPr>
            </w:pPr>
          </w:p>
        </w:tc>
        <w:tc>
          <w:tcPr>
            <w:tcW w:w="494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nine-month    twelve-month</w:t>
            </w:r>
          </w:p>
        </w:tc>
      </w:tr>
      <w:tr>
        <w:trPr>
          <w:trHeight w:val="230"/>
        </w:trPr>
        <w:tc>
          <w:tcPr>
            <w:tcW w:w="6300" w:type="dxa"/>
            <w:vAlign w:val="bottom"/>
          </w:tcPr>
          <w:p>
            <w:pPr>
              <w:spacing w:after="0"/>
              <w:rPr>
                <w:sz w:val="20"/>
                <w:szCs w:val="20"/>
                <w:color w:val="auto"/>
              </w:rPr>
            </w:pPr>
          </w:p>
        </w:tc>
        <w:tc>
          <w:tcPr>
            <w:tcW w:w="3660" w:type="dxa"/>
            <w:vAlign w:val="bottom"/>
          </w:tcPr>
          <w:p>
            <w:pPr>
              <w:jc w:val="right"/>
              <w:ind w:right="70"/>
              <w:spacing w:after="0"/>
              <w:rPr>
                <w:sz w:val="20"/>
                <w:szCs w:val="20"/>
                <w:color w:val="auto"/>
              </w:rPr>
            </w:pPr>
            <w:r>
              <w:rPr>
                <w:rFonts w:ascii="Arial" w:cs="Arial" w:eastAsia="Arial" w:hAnsi="Arial"/>
                <w:sz w:val="18"/>
                <w:szCs w:val="18"/>
                <w:color w:val="auto"/>
              </w:rPr>
              <w:t>period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period</w:t>
            </w:r>
          </w:p>
        </w:tc>
      </w:tr>
      <w:tr>
        <w:trPr>
          <w:trHeight w:val="243"/>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1,979</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3660" w:type="dxa"/>
            <w:vAlign w:val="bottom"/>
          </w:tcPr>
          <w:p>
            <w:pPr>
              <w:jc w:val="right"/>
              <w:ind w:right="70"/>
              <w:spacing w:after="0"/>
              <w:rPr>
                <w:sz w:val="20"/>
                <w:szCs w:val="20"/>
                <w:color w:val="auto"/>
              </w:rPr>
            </w:pPr>
            <w:r>
              <w:rPr>
                <w:rFonts w:ascii="Arial" w:cs="Arial" w:eastAsia="Arial" w:hAnsi="Arial"/>
                <w:sz w:val="18"/>
                <w:szCs w:val="18"/>
                <w:b w:val="1"/>
                <w:bCs w:val="1"/>
                <w:color w:val="auto"/>
              </w:rPr>
              <w:t>192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3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change in the foreign exchange rate</w:t>
            </w:r>
          </w:p>
        </w:tc>
        <w:tc>
          <w:tcPr>
            <w:tcW w:w="3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period end</w:t>
            </w:r>
          </w:p>
        </w:tc>
        <w:tc>
          <w:tcPr>
            <w:tcW w:w="3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2,335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bl>
    <w:p>
      <w:pPr>
        <w:spacing w:after="0" w:line="202"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As of September 30, 2023, the Company estimated the costs of restoring its leased premises to their original state at the end of their respective lease terms to be $4,326 (December 31, 2022: $3,950), discounted to present value of $2,335 (December 31, 2022: $1,979) using annual discount rates between 7% and 10% (December 31, 2022: between 7% and 10%) over the lease periods, which were estimated to range from seven to ten years depending on the location.</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SHARE CAPITAL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both"/>
        <w:ind w:left="20" w:hanging="4"/>
        <w:spacing w:after="0" w:line="260" w:lineRule="auto"/>
        <w:rPr>
          <w:sz w:val="20"/>
          <w:szCs w:val="20"/>
          <w:color w:val="auto"/>
        </w:rPr>
      </w:pPr>
      <w:r>
        <w:rPr>
          <w:rFonts w:ascii="Arial" w:cs="Arial" w:eastAsia="Arial" w:hAnsi="Arial"/>
          <w:sz w:val="18"/>
          <w:szCs w:val="18"/>
          <w:color w:val="auto"/>
        </w:rPr>
        <w:t>The Company’s authorized share capital consists of an unlimited number of common shares without par value. As of September 30, 2023, the Company had 277,684,000 issued and outstanding common shares (December 31, 2022: 224,200,000).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the outstanding warrants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0"/>
              </w:rPr>
              <w:t>Nine months ended September 30,</w:t>
            </w:r>
          </w:p>
        </w:tc>
        <w:tc>
          <w:tcPr>
            <w:tcW w:w="1180" w:type="dxa"/>
            <w:vAlign w:val="bottom"/>
            <w:tcBorders>
              <w:bottom w:val="single" w:sz="8" w:color="auto"/>
            </w:tcBorders>
          </w:tcPr>
          <w:p>
            <w:pPr>
              <w:spacing w:after="0"/>
              <w:rPr>
                <w:sz w:val="20"/>
                <w:szCs w:val="20"/>
                <w:color w:val="auto"/>
              </w:rPr>
            </w:pPr>
          </w:p>
        </w:tc>
      </w:tr>
      <w:tr>
        <w:trPr>
          <w:trHeight w:val="237"/>
        </w:trPr>
        <w:tc>
          <w:tcPr>
            <w:tcW w:w="4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191"/>
        </w:trPr>
        <w:tc>
          <w:tcPr>
            <w:tcW w:w="4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w:t>
            </w:r>
          </w:p>
        </w:tc>
        <w:tc>
          <w:tcPr>
            <w:tcW w:w="1320" w:type="dxa"/>
            <w:vAlign w:val="bottom"/>
          </w:tcPr>
          <w:p>
            <w:pPr>
              <w:spacing w:after="0"/>
              <w:rPr>
                <w:sz w:val="16"/>
                <w:szCs w:val="16"/>
                <w:color w:val="auto"/>
              </w:rPr>
            </w:pPr>
          </w:p>
        </w:tc>
        <w:tc>
          <w:tcPr>
            <w:tcW w:w="1180" w:type="dxa"/>
            <w:vAlign w:val="bottom"/>
          </w:tcPr>
          <w:p>
            <w:pPr>
              <w:jc w:val="right"/>
              <w:ind w:right="10"/>
              <w:spacing w:after="0" w:line="191" w:lineRule="exact"/>
              <w:rPr>
                <w:sz w:val="20"/>
                <w:szCs w:val="20"/>
                <w:color w:val="auto"/>
              </w:rPr>
            </w:pPr>
            <w:r>
              <w:rPr>
                <w:rFonts w:ascii="Arial" w:cs="Arial" w:eastAsia="Arial" w:hAnsi="Arial"/>
                <w:sz w:val="18"/>
                <w:szCs w:val="18"/>
                <w:color w:val="auto"/>
              </w:rPr>
              <w:t>Weighted</w:t>
            </w:r>
          </w:p>
        </w:tc>
      </w:tr>
      <w:tr>
        <w:trPr>
          <w:trHeight w:val="216"/>
        </w:trPr>
        <w:tc>
          <w:tcPr>
            <w:tcW w:w="4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16"/>
        </w:trPr>
        <w:tc>
          <w:tcPr>
            <w:tcW w:w="41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exercise</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Number of</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exercise</w:t>
            </w:r>
          </w:p>
        </w:tc>
      </w:tr>
      <w:tr>
        <w:trPr>
          <w:trHeight w:val="234"/>
        </w:trPr>
        <w:tc>
          <w:tcPr>
            <w:tcW w:w="4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price (USD)</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price (USD)</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19,153,000</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19,428,000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Granted</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25,000</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September 30,</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19,153,000</w:t>
            </w:r>
          </w:p>
        </w:tc>
        <w:tc>
          <w:tcPr>
            <w:tcW w:w="15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19,453,000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warrants as of September 30, 2023 was 0.7 years (September 30, 2022: 1.7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23  Page</w:t>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xml:space="preserve">SHARE CAPITAL </w:t>
      </w:r>
      <w:r>
        <w:rPr>
          <w:rFonts w:ascii="Arial" w:cs="Arial" w:eastAsia="Arial" w:hAnsi="Arial"/>
          <w:sz w:val="17"/>
          <w:szCs w:val="17"/>
          <w:color w:val="auto"/>
        </w:rPr>
        <w:t>(Continued)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transactions</w:t>
      </w:r>
    </w:p>
    <w:p>
      <w:pPr>
        <w:spacing w:after="0" w:line="2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first quarter of 2022, the Company acquired a building in Quebec referred to as “Garlock” in exchange for cash consideration of $1,783 and the issuance of 25,000 warrants granted with a strike price of $3.47 and a contractual life of 2 years.</w:t>
      </w:r>
    </w:p>
    <w:p>
      <w:pPr>
        <w:spacing w:after="0" w:line="17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At-The-Market Equity Offering Program</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commenced an at-the-market equity offering program (the “ATM program”) on August 16, 2021, pursuant to which the Company may, at its discretion and from time-to-time, sell common shares of the Company, resulting in the Company receiving aggregate proceeds of up to $500,000. The ATM program expired on September 12, 2023.</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the Company issued 52,121,000 common shares in the ATM program in exchange for gross proceeds of $70,770 at an average share price of approximately $1.36. The Company received net proceeds of $68,504 after paying commissions of $2,187 to the sales agent for the program and $79 in other transaction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the Company issued 20,835,000 common shares in the ATM program in exchange for gross proceeds of $50,181 at an average share price of approximately $2.41. The Company received net proceeds of $48,506 after paying commissions of $1,585 to the sales agent and $90 in other transaction costs.</w:t>
      </w:r>
    </w:p>
    <w:p>
      <w:pPr>
        <w:spacing w:after="0" w:line="18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During the nine months ended September 30, 2023, option holders exercised stock options to acquire 400,000 common shares (nine months ended September 30, 2022: 70,000) resulting in proceeds of approximately $162 (nine months ended September 30, 2022: $27) being 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24  Page</w:t>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categories and fair value</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5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5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680" w:type="dxa"/>
            <w:vAlign w:val="bottom"/>
          </w:tcPr>
          <w:p>
            <w:pPr>
              <w:spacing w:after="0"/>
              <w:rPr>
                <w:sz w:val="20"/>
                <w:szCs w:val="20"/>
                <w:color w:val="auto"/>
              </w:rPr>
            </w:pPr>
            <w:r>
              <w:rPr>
                <w:rFonts w:ascii="Arial" w:cs="Arial" w:eastAsia="Arial" w:hAnsi="Arial"/>
                <w:sz w:val="18"/>
                <w:szCs w:val="18"/>
                <w:b w:val="1"/>
                <w:bCs w:val="1"/>
                <w:color w:val="auto"/>
              </w:rPr>
              <w:t>Financial assets at amortized cost</w:t>
            </w:r>
          </w:p>
        </w:tc>
        <w:tc>
          <w:tcPr>
            <w:tcW w:w="2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Level 1</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46,775</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Trade receivables</w:t>
            </w:r>
          </w:p>
        </w:tc>
        <w:tc>
          <w:tcPr>
            <w:tcW w:w="2960" w:type="dxa"/>
            <w:vAlign w:val="bottom"/>
          </w:tcPr>
          <w:p>
            <w:pPr>
              <w:ind w:left="2340"/>
              <w:spacing w:after="0"/>
              <w:rPr>
                <w:sz w:val="20"/>
                <w:szCs w:val="20"/>
                <w:color w:val="auto"/>
              </w:rPr>
            </w:pPr>
            <w:r>
              <w:rPr>
                <w:rFonts w:ascii="Arial" w:cs="Arial" w:eastAsia="Arial" w:hAnsi="Arial"/>
                <w:sz w:val="18"/>
                <w:szCs w:val="18"/>
                <w:color w:val="auto"/>
              </w:rPr>
              <w:t>Level 2</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1,157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43"/>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960" w:type="dxa"/>
            <w:vAlign w:val="bottom"/>
            <w:tcBorders>
              <w:bottom w:val="single" w:sz="8" w:color="auto"/>
            </w:tcBorders>
            <w:shd w:val="clear" w:color="auto" w:fill="CCEEFF"/>
          </w:tcPr>
          <w:p>
            <w:pPr>
              <w:ind w:left="2340"/>
              <w:spacing w:after="0"/>
              <w:rPr>
                <w:sz w:val="20"/>
                <w:szCs w:val="20"/>
                <w:color w:val="auto"/>
              </w:rPr>
            </w:pPr>
            <w:r>
              <w:rPr>
                <w:rFonts w:ascii="Arial" w:cs="Arial" w:eastAsia="Arial" w:hAnsi="Arial"/>
                <w:sz w:val="18"/>
                <w:szCs w:val="18"/>
                <w:color w:val="auto"/>
              </w:rPr>
              <w:t>Level 2</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carrying amount and fair value</w:t>
            </w:r>
          </w:p>
        </w:tc>
        <w:tc>
          <w:tcPr>
            <w:tcW w:w="29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48,343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31,696</w:t>
            </w:r>
          </w:p>
        </w:tc>
      </w:tr>
      <w:tr>
        <w:trPr>
          <w:trHeight w:val="209"/>
        </w:trPr>
        <w:tc>
          <w:tcPr>
            <w:tcW w:w="56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Financial liabilities at amortized cost</w:t>
            </w:r>
          </w:p>
        </w:tc>
        <w:tc>
          <w:tcPr>
            <w:tcW w:w="2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29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Level 2</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7,621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w:t>
            </w:r>
          </w:p>
        </w:tc>
      </w:tr>
      <w:tr>
        <w:trPr>
          <w:trHeight w:val="243"/>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960" w:type="dxa"/>
            <w:vAlign w:val="bottom"/>
            <w:tcBorders>
              <w:bottom w:val="single" w:sz="8" w:color="auto"/>
            </w:tcBorders>
          </w:tcPr>
          <w:p>
            <w:pPr>
              <w:ind w:left="2340"/>
              <w:spacing w:after="0"/>
              <w:rPr>
                <w:sz w:val="20"/>
                <w:szCs w:val="20"/>
                <w:color w:val="auto"/>
              </w:rPr>
            </w:pPr>
            <w:r>
              <w:rPr>
                <w:rFonts w:ascii="Arial" w:cs="Arial" w:eastAsia="Arial" w:hAnsi="Arial"/>
                <w:sz w:val="18"/>
                <w:szCs w:val="18"/>
                <w:color w:val="auto"/>
              </w:rPr>
              <w:t>Level 2</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10,021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47,147</w:t>
            </w:r>
          </w:p>
        </w:tc>
      </w:tr>
      <w:tr>
        <w:trPr>
          <w:trHeight w:val="237"/>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carrying amount and fair value</w:t>
            </w:r>
          </w:p>
        </w:tc>
        <w:tc>
          <w:tcPr>
            <w:tcW w:w="29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17,642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60,044</w:t>
            </w:r>
          </w:p>
        </w:tc>
      </w:tr>
      <w:tr>
        <w:trPr>
          <w:trHeight w:val="237"/>
        </w:trPr>
        <w:tc>
          <w:tcPr>
            <w:tcW w:w="5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3"/>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carrying amount and fair value</w:t>
            </w:r>
          </w:p>
        </w:tc>
        <w:tc>
          <w:tcPr>
            <w:tcW w:w="29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30,701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trade receivables, other receivables, trade payables and accrued liabilities and long-term debt presented in the table above are a reasonable approximation of their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assets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Starting in the first quarter of 2023, the Company entered into forward BTC option contracts to sell digital assets to reduce the risk of variability of future cash flows resulting from future sales of digital assets. The fair value of option contracts is categorized as Level 2 in the fair value hierarchy and is presented under Other assets in the consolidated statements of financial position when there is an outstanding contract at period end. As of September 30, 2023, there were no outstanding contracts.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 The Company did not apply hedge accounting on these contracts.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2023, the realized loss on settled contracts amounting to nil and $180, respectively, were recognized in net financial income included in the consolidated statements of profit or loss and comprehensive profit or loss (three and nine months ended September 30, 2022: nil and nil). Refer to Note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25  Page</w:t>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NOTE 19:  TRANSACTIONS AND BALANCES WITH RELATED PARTIES</w:t>
            </w:r>
          </w:p>
        </w:tc>
        <w:tc>
          <w:tcPr>
            <w:tcW w:w="2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7420" w:type="dxa"/>
            <w:vAlign w:val="bottom"/>
          </w:tcPr>
          <w:p>
            <w:pPr>
              <w:ind w:left="20"/>
              <w:spacing w:after="0"/>
              <w:rPr>
                <w:sz w:val="20"/>
                <w:szCs w:val="20"/>
                <w:color w:val="auto"/>
              </w:rPr>
            </w:pPr>
            <w:r>
              <w:rPr>
                <w:rFonts w:ascii="Arial" w:cs="Arial" w:eastAsia="Arial" w:hAnsi="Arial"/>
                <w:sz w:val="18"/>
                <w:szCs w:val="18"/>
                <w:color w:val="auto"/>
              </w:rPr>
              <w:t>The following table details balances payable to related parties:</w:t>
            </w:r>
          </w:p>
        </w:tc>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7420" w:type="dxa"/>
            <w:vAlign w:val="bottom"/>
          </w:tcPr>
          <w:p>
            <w:pPr>
              <w:spacing w:after="0"/>
              <w:rPr>
                <w:sz w:val="24"/>
                <w:szCs w:val="24"/>
                <w:color w:val="auto"/>
              </w:rPr>
            </w:pPr>
          </w:p>
        </w:tc>
        <w:tc>
          <w:tcPr>
            <w:tcW w:w="254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7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6"/>
        </w:trPr>
        <w:tc>
          <w:tcPr>
            <w:tcW w:w="7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7420" w:type="dxa"/>
            <w:vAlign w:val="bottom"/>
          </w:tcPr>
          <w:p>
            <w:pPr>
              <w:spacing w:after="0"/>
              <w:rPr>
                <w:sz w:val="20"/>
                <w:szCs w:val="20"/>
                <w:color w:val="auto"/>
              </w:rPr>
            </w:pPr>
            <w:r>
              <w:rPr>
                <w:rFonts w:ascii="Arial" w:cs="Arial" w:eastAsia="Arial" w:hAnsi="Arial"/>
                <w:sz w:val="18"/>
                <w:szCs w:val="18"/>
                <w:b w:val="1"/>
                <w:bCs w:val="1"/>
                <w:color w:val="auto"/>
              </w:rPr>
              <w:t>Trade payables and accrued liabilities</w:t>
            </w:r>
          </w:p>
        </w:tc>
        <w:tc>
          <w:tcPr>
            <w:tcW w:w="2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r>
      <w:tr>
        <w:trPr>
          <w:trHeight w:val="243"/>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and senior management incentive plan</w:t>
            </w:r>
          </w:p>
        </w:tc>
        <w:tc>
          <w:tcPr>
            <w:tcW w:w="2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46</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7420" w:type="dxa"/>
            <w:vAlign w:val="bottom"/>
            <w:tcBorders>
              <w:bottom w:val="single" w:sz="8" w:color="auto"/>
            </w:tcBorders>
            <w:shd w:val="clear" w:color="auto" w:fill="CCEEFF"/>
          </w:tcPr>
          <w:p>
            <w:pPr>
              <w:spacing w:after="0"/>
              <w:rPr>
                <w:sz w:val="21"/>
                <w:szCs w:val="21"/>
                <w:color w:val="auto"/>
              </w:rPr>
            </w:pPr>
          </w:p>
        </w:tc>
        <w:tc>
          <w:tcPr>
            <w:tcW w:w="2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nine months ended September 30, 2022, the Company made rent payments totaling approximately $95 and $273, respectively, to companies controlled by certain directors of the Company. No such payments were made for the three and nine months ended September 30, 2023.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76"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In December 2022, the Company’s consulting agreements with two of its directors were terminated, their roles and responsibilities were reduced and termination payments totaling $1,466 were accrued and included in trade payables and accrued liabilities as at December 31, 2022 (as of September 30, 2023, balance accrued: nil). The consulting fees totaled approximately $417 and $843 for the three and nine months ended September 30, 2022, respectively (for the three and nine months ended September 30, 2023: nil).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the consolidated statements of profit or loss and comprehensive profit or loss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18"/>
                <w:szCs w:val="18"/>
                <w:color w:val="auto"/>
              </w:rPr>
            </w:pPr>
          </w:p>
        </w:tc>
      </w:tr>
      <w:tr>
        <w:trPr>
          <w:trHeight w:val="234"/>
        </w:trPr>
        <w:tc>
          <w:tcPr>
            <w:tcW w:w="45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37"/>
        </w:trPr>
        <w:tc>
          <w:tcPr>
            <w:tcW w:w="45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2022</w:t>
            </w: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54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417</w:t>
            </w:r>
          </w:p>
        </w:tc>
        <w:tc>
          <w:tcPr>
            <w:tcW w:w="1860" w:type="dxa"/>
            <w:vAlign w:val="bottom"/>
            <w:tcBorders>
              <w:right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4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expenses</w:t>
            </w:r>
          </w:p>
        </w:tc>
        <w:tc>
          <w:tcPr>
            <w:tcW w:w="35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w:t>
            </w: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4540" w:type="dxa"/>
            <w:vAlign w:val="bottom"/>
            <w:tcBorders>
              <w:bottom w:val="single" w:sz="8" w:color="auto"/>
            </w:tcBorders>
            <w:shd w:val="clear" w:color="auto" w:fill="CCEEFF"/>
          </w:tcPr>
          <w:p>
            <w:pPr>
              <w:spacing w:after="0"/>
              <w:rPr>
                <w:sz w:val="21"/>
                <w:szCs w:val="21"/>
                <w:color w:val="auto"/>
              </w:rPr>
            </w:pPr>
          </w:p>
        </w:tc>
        <w:tc>
          <w:tcPr>
            <w:tcW w:w="354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443</w:t>
            </w:r>
          </w:p>
        </w:tc>
        <w:tc>
          <w:tcPr>
            <w:tcW w:w="186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439"/>
        </w:trPr>
        <w:tc>
          <w:tcPr>
            <w:tcW w:w="45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0"/>
              </w:rPr>
              <w:t>Page</w:t>
            </w:r>
          </w:p>
        </w:tc>
      </w:tr>
    </w:tbl>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NET EARNINGS (LOSS) PER SHARE</w:t>
      </w:r>
    </w:p>
    <w:p>
      <w:pPr>
        <w:spacing w:after="0" w:line="229" w:lineRule="exact"/>
        <w:rPr>
          <w:sz w:val="20"/>
          <w:szCs w:val="20"/>
          <w:color w:val="auto"/>
        </w:rPr>
      </w:pPr>
    </w:p>
    <w:p>
      <w:pPr>
        <w:jc w:val="both"/>
        <w:ind w:left="20" w:hanging="4"/>
        <w:spacing w:after="0" w:line="279" w:lineRule="auto"/>
        <w:rPr>
          <w:sz w:val="20"/>
          <w:szCs w:val="20"/>
          <w:color w:val="auto"/>
        </w:rPr>
      </w:pPr>
      <w:r>
        <w:rPr>
          <w:rFonts w:ascii="Arial" w:cs="Arial" w:eastAsia="Arial" w:hAnsi="Arial"/>
          <w:sz w:val="17"/>
          <w:szCs w:val="17"/>
          <w:color w:val="auto"/>
        </w:rPr>
        <w:t>For the three and nine months ended September 30, 2023 and 2022, potentially dilutive securities have not been included in the calculation of diluted earnings (loss) per share because their effect is antidilutive. The additional potentially dilutive securities that would have been included in the calculation of diluted earnings per share, had their effect not been anti-dilutive for the three and nine months ended September 30, 2023, would have totaled approximately 4,343,000 and 3,952,000 (three and nine months ended September 30, 2022: 1,531,000 and 2,014,000, respectively).</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SHARE-BASED PAYMENT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share-based payment expense related to stock options and restricted stock units (“RSU”) for employees, directors, consultants and former employees received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18"/>
                <w:szCs w:val="18"/>
                <w:color w:val="auto"/>
              </w:rPr>
            </w:pPr>
          </w:p>
        </w:tc>
        <w:tc>
          <w:tcPr>
            <w:tcW w:w="24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r>
      <w:tr>
        <w:trPr>
          <w:trHeight w:val="237"/>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7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43"/>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332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3,961</w:t>
            </w:r>
          </w:p>
        </w:tc>
        <w:tc>
          <w:tcPr>
            <w:tcW w:w="172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7,009</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On March 31, 2023, upon the voluntary surrender by option holders, the Company cancelled outstanding options exercisable for 10,535,000 common shares. The Company intended, but had no obligation, to the persons who formerly held the cancelled options to grant new options no less than 90 days after the cancellation date of the original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nine months ended September 30, 2023.</w:t>
      </w:r>
    </w:p>
    <w:p>
      <w:pPr>
        <w:spacing w:after="0" w:line="191"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During the nine months ended September 30, 2023, the Board of Directors approved stock option grants to purchase 8,471,000 common shares in accordance with the Long-Term Incentive Plan (the “LTIP Plan”) adopted on May 18, 2021 (nine month ended September 30, 2022: 5,523,000 common shares). All options issued according to the LTIP Plan become exercisable when they vest and can be exercised for a maximum period of 5 years from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27  Page</w:t>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 xml:space="preserve">SHARE-BASED PAYMENT </w:t>
      </w:r>
      <w:r>
        <w:rPr>
          <w:rFonts w:ascii="Arial" w:cs="Arial" w:eastAsia="Arial" w:hAnsi="Arial"/>
          <w:sz w:val="17"/>
          <w:szCs w:val="17"/>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outstanding stock options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Nine months ended September 30,</w:t>
            </w:r>
          </w:p>
        </w:tc>
        <w:tc>
          <w:tcPr>
            <w:tcW w:w="1120" w:type="dxa"/>
            <w:vAlign w:val="bottom"/>
            <w:tcBorders>
              <w:bottom w:val="single" w:sz="8" w:color="auto"/>
            </w:tcBorders>
          </w:tcPr>
          <w:p>
            <w:pPr>
              <w:spacing w:after="0"/>
              <w:rPr>
                <w:sz w:val="20"/>
                <w:szCs w:val="20"/>
                <w:color w:val="auto"/>
              </w:rPr>
            </w:pPr>
          </w:p>
        </w:tc>
      </w:tr>
      <w:tr>
        <w:trPr>
          <w:trHeight w:val="237"/>
        </w:trPr>
        <w:tc>
          <w:tcPr>
            <w:tcW w:w="44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r>
      <w:tr>
        <w:trPr>
          <w:trHeight w:val="191"/>
        </w:trPr>
        <w:tc>
          <w:tcPr>
            <w:tcW w:w="4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w:t>
            </w:r>
          </w:p>
        </w:tc>
        <w:tc>
          <w:tcPr>
            <w:tcW w:w="1380" w:type="dxa"/>
            <w:vAlign w:val="bottom"/>
          </w:tcPr>
          <w:p>
            <w:pPr>
              <w:spacing w:after="0"/>
              <w:rPr>
                <w:sz w:val="16"/>
                <w:szCs w:val="16"/>
                <w:color w:val="auto"/>
              </w:rPr>
            </w:pPr>
          </w:p>
        </w:tc>
        <w:tc>
          <w:tcPr>
            <w:tcW w:w="11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Weighted</w:t>
            </w:r>
          </w:p>
        </w:tc>
      </w:tr>
      <w:tr>
        <w:trPr>
          <w:trHeight w:val="216"/>
        </w:trPr>
        <w:tc>
          <w:tcPr>
            <w:tcW w:w="4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Exercise</w:t>
            </w:r>
          </w:p>
        </w:tc>
        <w:tc>
          <w:tcPr>
            <w:tcW w:w="1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r>
      <w:tr>
        <w:trPr>
          <w:trHeight w:val="216"/>
        </w:trPr>
        <w:tc>
          <w:tcPr>
            <w:tcW w:w="448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Price</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r>
      <w:tr>
        <w:trPr>
          <w:trHeight w:val="234"/>
        </w:trPr>
        <w:tc>
          <w:tcPr>
            <w:tcW w:w="44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($CAD)</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($CAD)</w:t>
            </w:r>
          </w:p>
        </w:tc>
      </w:tr>
      <w:tr>
        <w:trPr>
          <w:trHeight w:val="237"/>
        </w:trPr>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w:t>
            </w:r>
          </w:p>
        </w:tc>
        <w:tc>
          <w:tcPr>
            <w:tcW w:w="2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21,804,000</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3.47</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12,547,000</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tcPr>
          <w:p>
            <w:pPr>
              <w:jc w:val="right"/>
              <w:ind w:right="10"/>
              <w:spacing w:after="0"/>
              <w:rPr>
                <w:sz w:val="20"/>
                <w:szCs w:val="20"/>
                <w:color w:val="auto"/>
              </w:rPr>
            </w:pPr>
            <w:r>
              <w:rPr>
                <w:rFonts w:ascii="Arial" w:cs="Arial" w:eastAsia="Arial" w:hAnsi="Arial"/>
                <w:sz w:val="18"/>
                <w:szCs w:val="18"/>
                <w:b w:val="1"/>
                <w:bCs w:val="1"/>
                <w:color w:val="auto"/>
              </w:rPr>
              <w:t>8,471,000</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1.89</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5,523,000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0.54</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(70,000)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27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(170,000)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(10,535,000)</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5.17</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(340,000)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5.47</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(15,000)</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September 30,</w:t>
            </w:r>
          </w:p>
        </w:tc>
        <w:tc>
          <w:tcPr>
            <w:tcW w:w="2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19,000,000</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1.85</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17,815,000</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50"/>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Exercisable, September 30,</w:t>
            </w:r>
          </w:p>
        </w:tc>
        <w:tc>
          <w:tcPr>
            <w:tcW w:w="2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3,035,000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0.51</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1,391,000</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r>
      <w:tr>
        <w:trPr>
          <w:trHeight w:val="432"/>
        </w:trPr>
        <w:tc>
          <w:tcPr>
            <w:tcW w:w="10120" w:type="dxa"/>
            <w:vAlign w:val="bottom"/>
            <w:gridSpan w:val="4"/>
          </w:tcPr>
          <w:p>
            <w:pPr>
              <w:spacing w:after="0"/>
              <w:rPr>
                <w:sz w:val="20"/>
                <w:szCs w:val="20"/>
                <w:color w:val="auto"/>
              </w:rPr>
            </w:pPr>
            <w:r>
              <w:rPr>
                <w:rFonts w:ascii="Arial" w:cs="Arial" w:eastAsia="Arial" w:hAnsi="Arial"/>
                <w:sz w:val="18"/>
                <w:szCs w:val="18"/>
                <w:color w:val="auto"/>
                <w:w w:val="95"/>
              </w:rPr>
              <w:t>The weighted average contractual life of the stock options as of September 30, 2023 was 4.0 years (September 30, 2022: 4.0 years).</w:t>
            </w:r>
          </w:p>
        </w:tc>
        <w:tc>
          <w:tcPr>
            <w:tcW w:w="1120" w:type="dxa"/>
            <w:vAlign w:val="bottom"/>
          </w:tcPr>
          <w:p>
            <w:pPr>
              <w:spacing w:after="0"/>
              <w:rPr>
                <w:sz w:val="24"/>
                <w:szCs w:val="24"/>
                <w:color w:val="auto"/>
              </w:rPr>
            </w:pPr>
          </w:p>
        </w:tc>
      </w:tr>
      <w:tr>
        <w:trPr>
          <w:trHeight w:val="432"/>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The inputs used to value the option grants using the Black-Scholes model are as follows: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4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1"/>
        </w:trPr>
        <w:tc>
          <w:tcPr>
            <w:tcW w:w="4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June 30,</w:t>
            </w: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27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Dividend yield (%)</w:t>
            </w: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share price volatility (%)</w:t>
            </w:r>
          </w:p>
        </w:tc>
        <w:tc>
          <w:tcPr>
            <w:tcW w:w="2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stock options (years)</w:t>
            </w:r>
          </w:p>
        </w:tc>
        <w:tc>
          <w:tcPr>
            <w:tcW w:w="2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Share price (CAD)</w:t>
            </w: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(CAD)</w:t>
            </w:r>
          </w:p>
        </w:tc>
        <w:tc>
          <w:tcPr>
            <w:tcW w:w="2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Fair value of options (USD)</w:t>
            </w: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0.89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Vesting period (years)</w:t>
            </w:r>
          </w:p>
        </w:tc>
        <w:tc>
          <w:tcPr>
            <w:tcW w:w="2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50"/>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options granted</w:t>
            </w:r>
          </w:p>
        </w:tc>
        <w:tc>
          <w:tcPr>
            <w:tcW w:w="27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8,471,000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28  Page</w:t>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 xml:space="preserve">SHARE-BASED PAYMENT </w:t>
      </w:r>
      <w:r>
        <w:rPr>
          <w:rFonts w:ascii="Arial" w:cs="Arial" w:eastAsia="Arial" w:hAnsi="Arial"/>
          <w:sz w:val="17"/>
          <w:szCs w:val="17"/>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 Shares (“RSU”)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RSUs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89"/>
              </w:rPr>
              <w:t>Nine months ended September 30,</w:t>
            </w:r>
          </w:p>
        </w:tc>
        <w:tc>
          <w:tcPr>
            <w:tcW w:w="1200" w:type="dxa"/>
            <w:vAlign w:val="bottom"/>
            <w:tcBorders>
              <w:bottom w:val="single" w:sz="8" w:color="auto"/>
            </w:tcBorders>
          </w:tcPr>
          <w:p>
            <w:pPr>
              <w:spacing w:after="0"/>
              <w:rPr>
                <w:sz w:val="20"/>
                <w:szCs w:val="20"/>
                <w:color w:val="auto"/>
              </w:rPr>
            </w:pPr>
          </w:p>
        </w:tc>
      </w:tr>
      <w:tr>
        <w:trPr>
          <w:trHeight w:val="237"/>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r>
      <w:tr>
        <w:trPr>
          <w:trHeight w:val="191"/>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w:t>
            </w:r>
          </w:p>
        </w:tc>
        <w:tc>
          <w:tcPr>
            <w:tcW w:w="1300" w:type="dxa"/>
            <w:vAlign w:val="bottom"/>
          </w:tcPr>
          <w:p>
            <w:pPr>
              <w:spacing w:after="0"/>
              <w:rPr>
                <w:sz w:val="16"/>
                <w:szCs w:val="16"/>
                <w:color w:val="auto"/>
              </w:rPr>
            </w:pPr>
          </w:p>
        </w:tc>
        <w:tc>
          <w:tcPr>
            <w:tcW w:w="12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Weighted</w:t>
            </w:r>
          </w:p>
        </w:tc>
      </w:tr>
      <w:tr>
        <w:trPr>
          <w:trHeight w:val="216"/>
        </w:trPr>
        <w:tc>
          <w:tcPr>
            <w:tcW w:w="4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220" w:type="dxa"/>
            <w:vAlign w:val="bottom"/>
          </w:tcPr>
          <w:p>
            <w:pPr>
              <w:spacing w:after="0"/>
              <w:rPr>
                <w:sz w:val="18"/>
                <w:szCs w:val="18"/>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Grant Price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Grant Price</w:t>
            </w:r>
          </w:p>
        </w:tc>
      </w:tr>
      <w:tr>
        <w:trPr>
          <w:trHeight w:val="234"/>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RSUs</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($CAD)</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RSUs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($CAD)</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3.73</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200,000</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Settled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(142,000)</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3.65</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Outstanding, September 30,</w:t>
            </w:r>
          </w:p>
        </w:tc>
        <w:tc>
          <w:tcPr>
            <w:tcW w:w="2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258,000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3.77</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400,000</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bl>
    <w:p>
      <w:pPr>
        <w:spacing w:after="0" w:line="202" w:lineRule="exact"/>
        <w:rPr>
          <w:sz w:val="20"/>
          <w:szCs w:val="20"/>
          <w:color w:val="auto"/>
        </w:rPr>
      </w:pPr>
    </w:p>
    <w:p>
      <w:pPr>
        <w:ind w:left="20" w:hanging="4"/>
        <w:spacing w:after="0" w:line="277" w:lineRule="auto"/>
        <w:rPr>
          <w:sz w:val="20"/>
          <w:szCs w:val="20"/>
          <w:color w:val="auto"/>
        </w:rPr>
      </w:pPr>
      <w:r>
        <w:rPr>
          <w:rFonts w:ascii="Arial" w:cs="Arial" w:eastAsia="Arial" w:hAnsi="Arial"/>
          <w:sz w:val="18"/>
          <w:szCs w:val="18"/>
          <w:color w:val="auto"/>
        </w:rPr>
        <w:t>On May 19, 2022, the Board of Directors approved the grant of 200,000 RSUs to certain members of senior management which vest 25% upfront and an additional 25% every 6 months. The value of the RSUs on the grant date was $1.91 per unit.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tab/>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3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4"/>
        </w:trPr>
        <w:tc>
          <w:tcPr>
            <w:tcW w:w="4640" w:type="dxa"/>
            <w:vAlign w:val="bottom"/>
          </w:tcPr>
          <w:p>
            <w:pPr>
              <w:spacing w:after="0"/>
              <w:rPr>
                <w:sz w:val="24"/>
                <w:szCs w:val="24"/>
                <w:color w:val="auto"/>
              </w:rPr>
            </w:pPr>
          </w:p>
        </w:tc>
        <w:tc>
          <w:tcPr>
            <w:tcW w:w="420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89"/>
              </w:rPr>
              <w:t>Three months ended</w:t>
            </w:r>
          </w:p>
        </w:tc>
        <w:tc>
          <w:tcPr>
            <w:tcW w:w="2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6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center"/>
              <w:ind w:left="185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7"/>
        </w:trPr>
        <w:tc>
          <w:tcPr>
            <w:tcW w:w="46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32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20,396</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15,489</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57,339</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38,970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40" w:type="dxa"/>
            <w:vAlign w:val="bottom"/>
          </w:tcPr>
          <w:p>
            <w:pPr>
              <w:jc w:val="right"/>
              <w:ind w:right="690"/>
              <w:spacing w:after="0"/>
              <w:rPr>
                <w:sz w:val="20"/>
                <w:szCs w:val="20"/>
                <w:color w:val="auto"/>
              </w:rPr>
            </w:pPr>
            <w:r>
              <w:rPr>
                <w:rFonts w:ascii="Arial" w:cs="Arial" w:eastAsia="Arial" w:hAnsi="Arial"/>
                <w:sz w:val="18"/>
                <w:szCs w:val="18"/>
                <w:b w:val="1"/>
                <w:bCs w:val="1"/>
                <w:color w:val="auto"/>
              </w:rPr>
              <w:t>21,767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20,720</w:t>
            </w: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62,995</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51,643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32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890</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688</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1,830</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r>
      <w:tr>
        <w:trPr>
          <w:trHeight w:val="24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Electrician salaries and payroll taxes</w:t>
            </w:r>
          </w:p>
        </w:tc>
        <w:tc>
          <w:tcPr>
            <w:tcW w:w="3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409</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289</w:t>
            </w: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1,220</w:t>
            </w: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924</w:t>
            </w:r>
          </w:p>
        </w:tc>
      </w:tr>
      <w:tr>
        <w:trPr>
          <w:trHeight w:val="244"/>
        </w:trPr>
        <w:tc>
          <w:tcPr>
            <w:tcW w:w="4640" w:type="dxa"/>
            <w:vAlign w:val="bottom"/>
            <w:tcBorders>
              <w:bottom w:val="single" w:sz="8" w:color="auto"/>
            </w:tcBorders>
            <w:shd w:val="clear" w:color="auto" w:fill="CCEEFF"/>
          </w:tcPr>
          <w:p>
            <w:pPr>
              <w:spacing w:after="0"/>
              <w:rPr>
                <w:sz w:val="21"/>
                <w:szCs w:val="21"/>
                <w:color w:val="auto"/>
              </w:rPr>
            </w:pPr>
          </w:p>
        </w:tc>
        <w:tc>
          <w:tcPr>
            <w:tcW w:w="324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43,462</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37,186</w:t>
            </w:r>
          </w:p>
        </w:tc>
        <w:tc>
          <w:tcPr>
            <w:tcW w:w="17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123,384</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92,789</w:t>
            </w:r>
          </w:p>
        </w:tc>
      </w:tr>
      <w:tr>
        <w:trPr>
          <w:trHeight w:val="432"/>
        </w:trPr>
        <w:tc>
          <w:tcPr>
            <w:tcW w:w="464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4"/>
        </w:trPr>
        <w:tc>
          <w:tcPr>
            <w:tcW w:w="4640" w:type="dxa"/>
            <w:vAlign w:val="bottom"/>
          </w:tcPr>
          <w:p>
            <w:pPr>
              <w:spacing w:after="0"/>
              <w:rPr>
                <w:sz w:val="24"/>
                <w:szCs w:val="24"/>
                <w:color w:val="auto"/>
              </w:rPr>
            </w:pPr>
          </w:p>
        </w:tc>
        <w:tc>
          <w:tcPr>
            <w:tcW w:w="420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89"/>
              </w:rPr>
              <w:t>Three months ended</w:t>
            </w:r>
          </w:p>
        </w:tc>
        <w:tc>
          <w:tcPr>
            <w:tcW w:w="2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6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center"/>
              <w:ind w:left="185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6"/>
        </w:trPr>
        <w:tc>
          <w:tcPr>
            <w:tcW w:w="46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share-based payment</w:t>
            </w:r>
          </w:p>
        </w:tc>
        <w:tc>
          <w:tcPr>
            <w:tcW w:w="32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4,939</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6,097</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15,136</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23,648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40" w:type="dxa"/>
            <w:vAlign w:val="bottom"/>
          </w:tcPr>
          <w:p>
            <w:pPr>
              <w:jc w:val="right"/>
              <w:ind w:right="690"/>
              <w:spacing w:after="0"/>
              <w:rPr>
                <w:sz w:val="20"/>
                <w:szCs w:val="20"/>
                <w:color w:val="auto"/>
              </w:rPr>
            </w:pPr>
            <w:r>
              <w:rPr>
                <w:rFonts w:ascii="Arial" w:cs="Arial" w:eastAsia="Arial" w:hAnsi="Arial"/>
                <w:sz w:val="18"/>
                <w:szCs w:val="18"/>
                <w:b w:val="1"/>
                <w:bCs w:val="1"/>
                <w:color w:val="auto"/>
              </w:rPr>
              <w:t>1,795</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1,835</w:t>
            </w: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5,325</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6,459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Insurance, duties and other</w:t>
            </w:r>
          </w:p>
        </w:tc>
        <w:tc>
          <w:tcPr>
            <w:tcW w:w="32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1,165</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1,992</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4,077</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7,951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Travel, motor vehicle and meals</w:t>
            </w:r>
          </w:p>
        </w:tc>
        <w:tc>
          <w:tcPr>
            <w:tcW w:w="3240" w:type="dxa"/>
            <w:vAlign w:val="bottom"/>
          </w:tcPr>
          <w:p>
            <w:pPr>
              <w:jc w:val="right"/>
              <w:ind w:right="690"/>
              <w:spacing w:after="0"/>
              <w:rPr>
                <w:sz w:val="20"/>
                <w:szCs w:val="20"/>
                <w:color w:val="auto"/>
              </w:rPr>
            </w:pPr>
            <w:r>
              <w:rPr>
                <w:rFonts w:ascii="Arial" w:cs="Arial" w:eastAsia="Arial" w:hAnsi="Arial"/>
                <w:sz w:val="18"/>
                <w:szCs w:val="18"/>
                <w:b w:val="1"/>
                <w:bCs w:val="1"/>
                <w:color w:val="auto"/>
              </w:rPr>
              <w:t>295</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233</w:t>
            </w: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678</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894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Hosting and telecommunications</w:t>
            </w:r>
          </w:p>
        </w:tc>
        <w:tc>
          <w:tcPr>
            <w:tcW w:w="32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105</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110</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311</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Advertising and promotion</w:t>
            </w:r>
          </w:p>
        </w:tc>
        <w:tc>
          <w:tcPr>
            <w:tcW w:w="3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73</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w:t>
            </w: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360</w:t>
            </w: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151</w:t>
            </w:r>
          </w:p>
        </w:tc>
      </w:tr>
      <w:tr>
        <w:trPr>
          <w:trHeight w:val="244"/>
        </w:trPr>
        <w:tc>
          <w:tcPr>
            <w:tcW w:w="4640" w:type="dxa"/>
            <w:vAlign w:val="bottom"/>
            <w:tcBorders>
              <w:bottom w:val="single" w:sz="8" w:color="auto"/>
            </w:tcBorders>
            <w:shd w:val="clear" w:color="auto" w:fill="CCEEFF"/>
          </w:tcPr>
          <w:p>
            <w:pPr>
              <w:spacing w:after="0"/>
              <w:rPr>
                <w:sz w:val="21"/>
                <w:szCs w:val="21"/>
                <w:color w:val="auto"/>
              </w:rPr>
            </w:pPr>
          </w:p>
        </w:tc>
        <w:tc>
          <w:tcPr>
            <w:tcW w:w="324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8,372</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10,299</w:t>
            </w:r>
          </w:p>
        </w:tc>
        <w:tc>
          <w:tcPr>
            <w:tcW w:w="17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25,887</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39,534</w:t>
            </w:r>
          </w:p>
        </w:tc>
      </w:tr>
      <w:tr>
        <w:trPr>
          <w:trHeight w:val="439"/>
        </w:trPr>
        <w:tc>
          <w:tcPr>
            <w:tcW w:w="46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right w:val="single" w:sz="8" w:color="auto"/>
            </w:tcBorders>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0"/>
              </w:rPr>
              <w:t>Page</w:t>
            </w: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 xml:space="preserve">ADDITIONAL DETAILS TO THE STATEMENT OF PROFIT OR LOSS AND COMPREHENSIVE PROFIT OR LOSS </w:t>
      </w:r>
      <w:r>
        <w:rPr>
          <w:rFonts w:ascii="Arial" w:cs="Arial" w:eastAsia="Arial" w:hAnsi="Arial"/>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Net financial income</w:t>
            </w:r>
          </w:p>
        </w:tc>
        <w:tc>
          <w:tcPr>
            <w:tcW w:w="1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r>
      <w:tr>
        <w:trPr>
          <w:trHeight w:val="237"/>
        </w:trPr>
        <w:tc>
          <w:tcPr>
            <w:tcW w:w="4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Notes</w:t>
            </w:r>
          </w:p>
        </w:tc>
        <w:tc>
          <w:tcPr>
            <w:tcW w:w="19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marketable securities</w:t>
            </w:r>
          </w:p>
        </w:tc>
        <w:tc>
          <w:tcPr>
            <w:tcW w:w="12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79"/>
              </w:rPr>
              <w:t>a</w:t>
            </w:r>
          </w:p>
        </w:tc>
        <w:tc>
          <w:tcPr>
            <w:tcW w:w="190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(4,120)</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8"/>
              </w:rPr>
              <w:t>(13,690)</w:t>
            </w:r>
          </w:p>
        </w:tc>
        <w:tc>
          <w:tcPr>
            <w:tcW w:w="166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(11,246)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(44,332)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Gain on extinguishment of long-term debt and lease liabilities</w:t>
            </w: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w w:val="99"/>
              </w:rPr>
              <w:t>b</w:t>
            </w: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(12,835)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exchange</w:t>
            </w:r>
          </w:p>
        </w:tc>
        <w:tc>
          <w:tcPr>
            <w:tcW w:w="1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2,070</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w:t>
            </w:r>
          </w:p>
        </w:tc>
        <w:tc>
          <w:tcPr>
            <w:tcW w:w="16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5,059</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on credit facility and long-term debt</w:t>
            </w:r>
          </w:p>
        </w:tc>
        <w:tc>
          <w:tcPr>
            <w:tcW w:w="1220" w:type="dxa"/>
            <w:vAlign w:val="bottom"/>
          </w:tcPr>
          <w:p>
            <w:pPr>
              <w:spacing w:after="0"/>
              <w:rPr>
                <w:sz w:val="18"/>
                <w:szCs w:val="18"/>
                <w:color w:val="auto"/>
              </w:rPr>
            </w:pP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481</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3,020</w:t>
            </w: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2,405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9,916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Discount expense on VAT receivable</w:t>
            </w:r>
          </w:p>
        </w:tc>
        <w:tc>
          <w:tcPr>
            <w:tcW w:w="12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c</w:t>
            </w: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1,046</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1,919</w:t>
            </w:r>
          </w:p>
        </w:tc>
        <w:tc>
          <w:tcPr>
            <w:tcW w:w="16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2,748</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220" w:type="dxa"/>
            <w:vAlign w:val="bottom"/>
          </w:tcPr>
          <w:p>
            <w:pPr>
              <w:spacing w:after="0"/>
              <w:rPr>
                <w:sz w:val="18"/>
                <w:szCs w:val="18"/>
                <w:color w:val="auto"/>
              </w:rPr>
            </w:pP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334</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374</w:t>
            </w: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1,053</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1,034</w:t>
            </w:r>
          </w:p>
        </w:tc>
      </w:tr>
      <w:tr>
        <w:trPr>
          <w:trHeight w:val="243"/>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financial (income) expenses</w:t>
            </w:r>
          </w:p>
        </w:tc>
        <w:tc>
          <w:tcPr>
            <w:tcW w:w="12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(147)</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118</w:t>
            </w:r>
          </w:p>
        </w:tc>
        <w:tc>
          <w:tcPr>
            <w:tcW w:w="16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110</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4"/>
        </w:trPr>
        <w:tc>
          <w:tcPr>
            <w:tcW w:w="4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(336)</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(8,251)</w:t>
            </w: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(12,706)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(24,191)</w:t>
            </w:r>
          </w:p>
        </w:tc>
      </w:tr>
    </w:tbl>
    <w:p>
      <w:pPr>
        <w:spacing w:after="0" w:line="19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Gain on disposition of marketable securities</w:t>
      </w:r>
    </w:p>
    <w:p>
      <w:pPr>
        <w:spacing w:after="0" w:line="27" w:lineRule="exact"/>
        <w:rPr>
          <w:sz w:val="20"/>
          <w:szCs w:val="20"/>
          <w:color w:val="auto"/>
        </w:rPr>
      </w:pPr>
    </w:p>
    <w:p>
      <w:pPr>
        <w:jc w:val="both"/>
        <w:ind w:left="20" w:hanging="9"/>
        <w:spacing w:after="0" w:line="253" w:lineRule="auto"/>
        <w:rPr>
          <w:sz w:val="20"/>
          <w:szCs w:val="20"/>
          <w:color w:val="auto"/>
        </w:rPr>
      </w:pPr>
      <w:r>
        <w:rPr>
          <w:rFonts w:ascii="Arial" w:cs="Arial" w:eastAsia="Arial" w:hAnsi="Arial"/>
          <w:sz w:val="18"/>
          <w:szCs w:val="18"/>
          <w:color w:val="auto"/>
        </w:rPr>
        <w:t>During the three and nine months ended September 30, 2023 and 2022, the Company funded its expansion in Argentina through the acquisition of marketable securities and in-kind contribution of those securities to the Company’s subsidiary in Argentina. The subsequent disposition of those marketable securities in exchange for Argentine Pesos gave rise to a gain as the amount received in ARS exceeds the amount of ARS the Company would have received from a direct foreign currency exchange.</w:t>
      </w:r>
    </w:p>
    <w:p>
      <w:pPr>
        <w:spacing w:after="0" w:line="18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Gain on extinguishment of the BlockFi loan and Reliz lease liability</w:t>
      </w:r>
    </w:p>
    <w:p>
      <w:pPr>
        <w:spacing w:after="0" w:line="27" w:lineRule="exact"/>
        <w:rPr>
          <w:sz w:val="20"/>
          <w:szCs w:val="20"/>
          <w:color w:val="auto"/>
        </w:rPr>
      </w:pPr>
    </w:p>
    <w:p>
      <w:pPr>
        <w:jc w:val="both"/>
        <w:ind w:left="20" w:hanging="9"/>
        <w:spacing w:after="0" w:line="255" w:lineRule="auto"/>
        <w:rPr>
          <w:sz w:val="20"/>
          <w:szCs w:val="20"/>
          <w:color w:val="auto"/>
        </w:rPr>
      </w:pPr>
      <w:r>
        <w:rPr>
          <w:rFonts w:ascii="Arial" w:cs="Arial" w:eastAsia="Arial" w:hAnsi="Arial"/>
          <w:sz w:val="18"/>
          <w:szCs w:val="18"/>
          <w:color w:val="auto"/>
        </w:rPr>
        <w:t>In February 2023, the Company negotiated a settlement of its loan agreement with BlockFi with a then outstanding debt balance of $20,330 for a payment of $7,750. As a result, a gain on extinguishment of long-term debt was recognized in the amount of $12,580 during the nine months ended September 30, 2023.</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2023, the Company modified its lease agreement with Reliz Ltd. in order to settle its outstanding lease liability of $373 for a payment of $118.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result, a gain on extinguishment of lease liabilities was recognized in the amount of $255 during the nine months ended September 30, 2023.</w:t>
      </w:r>
    </w:p>
    <w:p>
      <w:pPr>
        <w:spacing w:after="0" w:line="21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Discount expense on VAT receivable</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 portion of the Argentine VAT receivable is not expected to be settled within the next 12 months and, therefore, it has been classified as a long-term receivable in Note 11 with the short-term portion being included in sales tax receivable in Note 6. The Company has discounted this VAT receivable to its present value. The discounted amount is classified within Net financial income during the three and nine months ended September 30, 2023. Historically, ARS has devalued significantly when compared to USD due to high levels of inflation in Argentina, which may result in the Company recording future foreign exchange losses on its Argentina VAT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30  Page</w:t>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23:</w:t>
        <w:tab/>
        <w:t>GEOGRAPHICAL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by country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2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4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5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30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24,230</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27,445</w:t>
            </w: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74,177</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90,540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USA</w:t>
            </w:r>
          </w:p>
        </w:tc>
        <w:tc>
          <w:tcPr>
            <w:tcW w:w="4300" w:type="dxa"/>
            <w:vAlign w:val="bottom"/>
          </w:tcPr>
          <w:p>
            <w:pPr>
              <w:jc w:val="right"/>
              <w:ind w:right="690"/>
              <w:spacing w:after="0"/>
              <w:rPr>
                <w:sz w:val="20"/>
                <w:szCs w:val="20"/>
                <w:color w:val="auto"/>
              </w:rPr>
            </w:pPr>
            <w:r>
              <w:rPr>
                <w:rFonts w:ascii="Arial" w:cs="Arial" w:eastAsia="Arial" w:hAnsi="Arial"/>
                <w:sz w:val="18"/>
                <w:szCs w:val="18"/>
                <w:b w:val="1"/>
                <w:bCs w:val="1"/>
                <w:color w:val="auto"/>
              </w:rPr>
              <w:t>3,491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4,581</w:t>
            </w: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11,675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21,650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30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5,129</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158</w:t>
            </w: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9,221</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4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1,746</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1,063</w:t>
            </w: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5,052</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3,043</w:t>
            </w:r>
          </w:p>
        </w:tc>
      </w:tr>
      <w:tr>
        <w:trPr>
          <w:trHeight w:val="244"/>
        </w:trPr>
        <w:tc>
          <w:tcPr>
            <w:tcW w:w="3580" w:type="dxa"/>
            <w:vAlign w:val="bottom"/>
            <w:tcBorders>
              <w:bottom w:val="single" w:sz="8" w:color="auto"/>
            </w:tcBorders>
            <w:shd w:val="clear" w:color="auto" w:fill="CCEEFF"/>
          </w:tcPr>
          <w:p>
            <w:pPr>
              <w:spacing w:after="0"/>
              <w:rPr>
                <w:sz w:val="21"/>
                <w:szCs w:val="21"/>
                <w:color w:val="auto"/>
              </w:rPr>
            </w:pPr>
          </w:p>
        </w:tc>
        <w:tc>
          <w:tcPr>
            <w:tcW w:w="43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34,596</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33,247</w:t>
            </w:r>
          </w:p>
        </w:tc>
        <w:tc>
          <w:tcPr>
            <w:tcW w:w="16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100,125</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115,391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Revenues are presented based on the geographical contribution of computational power (measured by hashrate) or sales to external customers.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book value of property, plant and equipment by country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5240" w:type="dxa"/>
            <w:vAlign w:val="bottom"/>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As of</w:t>
            </w:r>
          </w:p>
        </w:tc>
      </w:tr>
      <w:tr>
        <w:trPr>
          <w:trHeight w:val="234"/>
        </w:trPr>
        <w:tc>
          <w:tcPr>
            <w:tcW w:w="47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7"/>
        </w:trPr>
        <w:tc>
          <w:tcPr>
            <w:tcW w:w="47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5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111,051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142,654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USA</w:t>
            </w:r>
          </w:p>
        </w:tc>
        <w:tc>
          <w:tcPr>
            <w:tcW w:w="5240" w:type="dxa"/>
            <w:vAlign w:val="bottom"/>
          </w:tcPr>
          <w:p>
            <w:pPr>
              <w:jc w:val="right"/>
              <w:ind w:right="70"/>
              <w:spacing w:after="0"/>
              <w:rPr>
                <w:sz w:val="20"/>
                <w:szCs w:val="20"/>
                <w:color w:val="auto"/>
              </w:rPr>
            </w:pPr>
            <w:r>
              <w:rPr>
                <w:rFonts w:ascii="Arial" w:cs="Arial" w:eastAsia="Arial" w:hAnsi="Arial"/>
                <w:sz w:val="18"/>
                <w:szCs w:val="18"/>
                <w:b w:val="1"/>
                <w:bCs w:val="1"/>
                <w:color w:val="auto"/>
              </w:rPr>
              <w:t>23,527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32,664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58,507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31,927</w:t>
            </w: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5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10,367</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r>
      <w:tr>
        <w:trPr>
          <w:trHeight w:val="244"/>
        </w:trPr>
        <w:tc>
          <w:tcPr>
            <w:tcW w:w="4720" w:type="dxa"/>
            <w:vAlign w:val="bottom"/>
            <w:tcBorders>
              <w:bottom w:val="single" w:sz="8" w:color="auto"/>
            </w:tcBorders>
            <w:shd w:val="clear" w:color="auto" w:fill="CCEEFF"/>
          </w:tcPr>
          <w:p>
            <w:pPr>
              <w:spacing w:after="0"/>
              <w:rPr>
                <w:sz w:val="21"/>
                <w:szCs w:val="21"/>
                <w:color w:val="auto"/>
              </w:rPr>
            </w:pPr>
          </w:p>
        </w:tc>
        <w:tc>
          <w:tcPr>
            <w:tcW w:w="5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203,452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31  Page</w:t>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24:</w:t>
        <w:tab/>
        <w:t>ADDITIONAL DETAILS TO THE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36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5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r>
      <w:tr>
        <w:trPr>
          <w:trHeight w:val="236"/>
        </w:trPr>
        <w:tc>
          <w:tcPr>
            <w:tcW w:w="75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r>
      <w:tr>
        <w:trPr>
          <w:trHeight w:val="210"/>
        </w:trPr>
        <w:tc>
          <w:tcPr>
            <w:tcW w:w="7560" w:type="dxa"/>
            <w:vAlign w:val="bottom"/>
          </w:tcPr>
          <w:p>
            <w:pPr>
              <w:spacing w:after="0"/>
              <w:rPr>
                <w:sz w:val="20"/>
                <w:szCs w:val="20"/>
                <w:color w:val="auto"/>
              </w:rPr>
            </w:pPr>
            <w:r>
              <w:rPr>
                <w:rFonts w:ascii="Arial" w:cs="Arial" w:eastAsia="Arial" w:hAnsi="Arial"/>
                <w:sz w:val="18"/>
                <w:szCs w:val="18"/>
                <w:b w:val="1"/>
                <w:bCs w:val="1"/>
                <w:color w:val="auto"/>
              </w:rPr>
              <w:t>Changes in working capital components:</w:t>
            </w:r>
          </w:p>
        </w:tc>
        <w:tc>
          <w:tcPr>
            <w:tcW w:w="2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receivables, net</w:t>
            </w:r>
          </w:p>
        </w:tc>
        <w:tc>
          <w:tcPr>
            <w:tcW w:w="296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Decrease (increase) in other current assets</w:t>
            </w:r>
          </w:p>
        </w:tc>
        <w:tc>
          <w:tcPr>
            <w:tcW w:w="2960" w:type="dxa"/>
            <w:vAlign w:val="bottom"/>
          </w:tcPr>
          <w:p>
            <w:pPr>
              <w:jc w:val="right"/>
              <w:ind w:right="570"/>
              <w:spacing w:after="0"/>
              <w:rPr>
                <w:sz w:val="20"/>
                <w:szCs w:val="20"/>
                <w:color w:val="auto"/>
              </w:rPr>
            </w:pPr>
            <w:r>
              <w:rPr>
                <w:rFonts w:ascii="Arial" w:cs="Arial" w:eastAsia="Arial" w:hAnsi="Arial"/>
                <w:sz w:val="18"/>
                <w:szCs w:val="18"/>
                <w:b w:val="1"/>
                <w:bCs w:val="1"/>
                <w:color w:val="auto"/>
              </w:rPr>
              <w:t>(831)</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deposits</w:t>
            </w:r>
          </w:p>
        </w:tc>
        <w:tc>
          <w:tcPr>
            <w:tcW w:w="29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3,309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Decrease in trade payables and accrued liabilities</w:t>
            </w:r>
          </w:p>
        </w:tc>
        <w:tc>
          <w:tcPr>
            <w:tcW w:w="2960" w:type="dxa"/>
            <w:vAlign w:val="bottom"/>
          </w:tcPr>
          <w:p>
            <w:pPr>
              <w:jc w:val="right"/>
              <w:ind w:right="570"/>
              <w:spacing w:after="0"/>
              <w:rPr>
                <w:sz w:val="20"/>
                <w:szCs w:val="20"/>
                <w:color w:val="auto"/>
              </w:rPr>
            </w:pPr>
            <w:r>
              <w:rPr>
                <w:rFonts w:ascii="Arial" w:cs="Arial" w:eastAsia="Arial" w:hAnsi="Arial"/>
                <w:sz w:val="18"/>
                <w:szCs w:val="18"/>
                <w:b w:val="1"/>
                <w:bCs w:val="1"/>
                <w:color w:val="auto"/>
              </w:rPr>
              <w:t>(3,289)</w:t>
            </w:r>
          </w:p>
        </w:tc>
        <w:tc>
          <w:tcPr>
            <w:tcW w:w="720" w:type="dxa"/>
            <w:vAlign w:val="bottom"/>
          </w:tcPr>
          <w:p>
            <w:pPr>
              <w:jc w:val="right"/>
              <w:spacing w:after="0"/>
              <w:rPr>
                <w:sz w:val="20"/>
                <w:szCs w:val="20"/>
                <w:color w:val="auto"/>
              </w:rPr>
            </w:pPr>
            <w:r>
              <w:rPr>
                <w:rFonts w:ascii="Arial" w:cs="Arial" w:eastAsia="Arial" w:hAnsi="Arial"/>
                <w:sz w:val="18"/>
                <w:szCs w:val="18"/>
                <w:color w:val="auto"/>
              </w:rPr>
              <w:t>(3,992)</w:t>
            </w:r>
          </w:p>
        </w:tc>
      </w:tr>
      <w:tr>
        <w:trPr>
          <w:trHeight w:val="243"/>
        </w:trPr>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 in taxes payable</w:t>
            </w:r>
          </w:p>
        </w:tc>
        <w:tc>
          <w:tcPr>
            <w:tcW w:w="29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(290)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7"/>
        </w:trPr>
        <w:tc>
          <w:tcPr>
            <w:tcW w:w="75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(1,557)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(12,404)</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Significant non-cash transactions:</w:t>
            </w:r>
          </w:p>
        </w:tc>
        <w:tc>
          <w:tcPr>
            <w:tcW w:w="2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Issuance of common shares in connection with acquisitions of assets</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1,354</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 of ROU assets, property, plant and equipment and related lease liabilities</w:t>
            </w:r>
          </w:p>
        </w:tc>
        <w:tc>
          <w:tcPr>
            <w:tcW w:w="29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1,527</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9,182</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Purchase of property, plant and equipment financed by short-term credit</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674</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Equipment prepayments realized as additions to property, plant and equipment</w:t>
            </w:r>
          </w:p>
        </w:tc>
        <w:tc>
          <w:tcPr>
            <w:tcW w:w="29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6,331</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51,948</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expense related to equity issuance costs</w:t>
            </w:r>
          </w:p>
        </w:tc>
        <w:tc>
          <w:tcPr>
            <w:tcW w:w="2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32  Page</w:t>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702945</wp:posOffset>
            </wp:positionV>
            <wp:extent cx="2031365" cy="531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Management’s Discussion &amp; Analysis</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10100"/>
        <w:spacing w:after="0"/>
        <w:rPr>
          <w:sz w:val="20"/>
          <w:szCs w:val="20"/>
          <w:color w:val="auto"/>
        </w:rPr>
      </w:pPr>
      <w:r>
        <w:rPr>
          <w:rFonts w:ascii="Arial" w:cs="Arial" w:eastAsia="Arial" w:hAnsi="Arial"/>
          <w:sz w:val="22"/>
          <w:szCs w:val="22"/>
          <w:color w:val="auto"/>
        </w:rPr>
        <w:t>Q3</w:t>
      </w:r>
    </w:p>
    <w:p>
      <w:pPr>
        <w:spacing w:after="0" w:line="8" w:lineRule="exact"/>
        <w:rPr>
          <w:sz w:val="20"/>
          <w:szCs w:val="20"/>
          <w:color w:val="auto"/>
        </w:rPr>
      </w:pPr>
    </w:p>
    <w:p>
      <w:pPr>
        <w:jc w:val="center"/>
        <w:ind w:left="10100"/>
        <w:spacing w:after="0"/>
        <w:rPr>
          <w:sz w:val="20"/>
          <w:szCs w:val="20"/>
          <w:color w:val="auto"/>
        </w:rPr>
      </w:pPr>
      <w:r>
        <w:rPr>
          <w:rFonts w:ascii="Arial" w:cs="Arial" w:eastAsia="Arial" w:hAnsi="Arial"/>
          <w:sz w:val="22"/>
          <w:szCs w:val="22"/>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561340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gridSpan w:val="25"/>
          </w:tcPr>
          <w:p>
            <w:pPr>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Introduction</w:t>
            </w:r>
          </w:p>
        </w:tc>
        <w:tc>
          <w:tcPr>
            <w:tcW w:w="600" w:type="dxa"/>
            <w:vAlign w:val="bottom"/>
            <w:gridSpan w:val="2"/>
            <w:shd w:val="clear" w:color="auto" w:fill="CCEEFF"/>
          </w:tcPr>
          <w:p>
            <w:pPr>
              <w:jc w:val="center"/>
              <w:ind w:right="31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Company Overview</w:t>
            </w:r>
          </w:p>
        </w:tc>
        <w:tc>
          <w:tcPr>
            <w:tcW w:w="600" w:type="dxa"/>
            <w:vAlign w:val="bottom"/>
            <w:gridSpan w:val="2"/>
          </w:tcPr>
          <w:p>
            <w:pPr>
              <w:jc w:val="center"/>
              <w:ind w:right="31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Financial Highlights</w:t>
            </w:r>
          </w:p>
        </w:tc>
        <w:tc>
          <w:tcPr>
            <w:tcW w:w="600" w:type="dxa"/>
            <w:vAlign w:val="bottom"/>
            <w:gridSpan w:val="2"/>
            <w:shd w:val="clear" w:color="auto" w:fill="CCEEFF"/>
          </w:tcPr>
          <w:p>
            <w:pPr>
              <w:jc w:val="center"/>
              <w:ind w:right="31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Third Quarter 2023 Financial Results and Operational Highlights</w:t>
            </w:r>
          </w:p>
        </w:tc>
        <w:tc>
          <w:tcPr>
            <w:tcW w:w="600" w:type="dxa"/>
            <w:vAlign w:val="bottom"/>
            <w:gridSpan w:val="2"/>
          </w:tcPr>
          <w:p>
            <w:pPr>
              <w:jc w:val="center"/>
              <w:ind w:right="310"/>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Production and Mining Operations</w:t>
            </w:r>
          </w:p>
        </w:tc>
        <w:tc>
          <w:tcPr>
            <w:tcW w:w="600" w:type="dxa"/>
            <w:vAlign w:val="bottom"/>
            <w:gridSpan w:val="2"/>
            <w:shd w:val="clear" w:color="auto" w:fill="CCEEFF"/>
          </w:tcPr>
          <w:p>
            <w:pPr>
              <w:jc w:val="center"/>
              <w:ind w:right="31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Expansion Projects</w:t>
            </w:r>
          </w:p>
        </w:tc>
        <w:tc>
          <w:tcPr>
            <w:tcW w:w="600" w:type="dxa"/>
            <w:vAlign w:val="bottom"/>
            <w:gridSpan w:val="2"/>
          </w:tcPr>
          <w:p>
            <w:pPr>
              <w:jc w:val="center"/>
              <w:ind w:right="31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Financial Performance</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Selected Quarterly Information</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Non-IFRS and Other Financial Measures and Ratios</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Liquidity and Capital Resources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Financial Position</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Financial Instruments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Related Party Transactions</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Internal Controls Over Financial Reporting</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Share Capital</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Risk Factors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Significant Accounting Estimates</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18.</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Significant Accounting Policies and New Accounting Policies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20.</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Cautionary Note Regarding Non-IFRS and Other Financial Measures and Ratios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180" w:type="dxa"/>
            <w:vAlign w:val="bottom"/>
            <w:gridSpan w:val="24"/>
            <w:shd w:val="clear" w:color="auto" w:fill="CCEEFF"/>
          </w:tcPr>
          <w:p>
            <w:pPr>
              <w:ind w:left="240"/>
              <w:spacing w:after="0" w:line="176" w:lineRule="exact"/>
              <w:rPr>
                <w:sz w:val="20"/>
                <w:szCs w:val="20"/>
                <w:color w:val="auto"/>
              </w:rPr>
            </w:pPr>
            <w:r>
              <w:rPr>
                <w:rFonts w:ascii="Arial" w:cs="Arial" w:eastAsia="Arial" w:hAnsi="Arial"/>
                <w:sz w:val="18"/>
                <w:szCs w:val="18"/>
                <w:color w:val="0000EE"/>
              </w:rPr>
              <w:t>Additional Information</w:t>
            </w:r>
          </w:p>
        </w:tc>
        <w:tc>
          <w:tcPr>
            <w:tcW w:w="600" w:type="dxa"/>
            <w:vAlign w:val="bottom"/>
            <w:gridSpan w:val="2"/>
            <w:shd w:val="clear" w:color="auto" w:fill="CCEEFF"/>
          </w:tcPr>
          <w:p>
            <w:pPr>
              <w:jc w:val="center"/>
              <w:ind w:right="290"/>
              <w:spacing w:after="0" w:line="176" w:lineRule="exact"/>
              <w:rPr>
                <w:sz w:val="20"/>
                <w:szCs w:val="20"/>
                <w:color w:val="auto"/>
              </w:rPr>
            </w:pPr>
            <w:r>
              <w:rPr>
                <w:rFonts w:ascii="Arial" w:cs="Arial" w:eastAsia="Arial" w:hAnsi="Arial"/>
                <w:sz w:val="18"/>
                <w:szCs w:val="18"/>
                <w:color w:val="auto"/>
                <w:w w:val="89"/>
              </w:rPr>
              <w:t>51</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0180" w:type="dxa"/>
            <w:vAlign w:val="bottom"/>
            <w:gridSpan w:val="24"/>
          </w:tcPr>
          <w:p>
            <w:pPr>
              <w:ind w:left="240"/>
              <w:spacing w:after="0" w:line="176" w:lineRule="exact"/>
              <w:rPr>
                <w:sz w:val="20"/>
                <w:szCs w:val="20"/>
                <w:color w:val="auto"/>
              </w:rPr>
            </w:pPr>
            <w:r>
              <w:rPr>
                <w:rFonts w:ascii="Arial" w:cs="Arial" w:eastAsia="Arial" w:hAnsi="Arial"/>
                <w:sz w:val="18"/>
                <w:szCs w:val="18"/>
                <w:color w:val="0000EE"/>
              </w:rPr>
              <w:t>Glossary of Terms</w:t>
            </w:r>
          </w:p>
        </w:tc>
        <w:tc>
          <w:tcPr>
            <w:tcW w:w="600" w:type="dxa"/>
            <w:vAlign w:val="bottom"/>
            <w:gridSpan w:val="2"/>
          </w:tcPr>
          <w:p>
            <w:pPr>
              <w:jc w:val="center"/>
              <w:ind w:right="290"/>
              <w:spacing w:after="0" w:line="176" w:lineRule="exact"/>
              <w:rPr>
                <w:sz w:val="20"/>
                <w:szCs w:val="20"/>
                <w:color w:val="auto"/>
              </w:rPr>
            </w:pPr>
            <w:r>
              <w:rPr>
                <w:rFonts w:ascii="Arial" w:cs="Arial" w:eastAsia="Arial" w:hAnsi="Arial"/>
                <w:sz w:val="18"/>
                <w:szCs w:val="18"/>
                <w:color w:val="auto"/>
                <w:w w:val="89"/>
              </w:rPr>
              <w:t>52</w:t>
            </w:r>
          </w:p>
        </w:tc>
      </w:tr>
      <w:tr>
        <w:trPr>
          <w:trHeight w:val="459"/>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10180" w:type="dxa"/>
            <w:vAlign w:val="bottom"/>
            <w:gridSpan w:val="24"/>
          </w:tcPr>
          <w:p>
            <w:pPr>
              <w:ind w:left="10060"/>
              <w:spacing w:after="0"/>
              <w:rPr>
                <w:sz w:val="20"/>
                <w:szCs w:val="20"/>
                <w:color w:val="auto"/>
              </w:rPr>
            </w:pPr>
            <w:r>
              <w:rPr>
                <w:rFonts w:ascii="Arial" w:cs="Arial" w:eastAsia="Arial" w:hAnsi="Arial"/>
                <w:sz w:val="18"/>
                <w:szCs w:val="18"/>
                <w:color w:val="auto"/>
                <w:w w:val="99"/>
              </w:rPr>
              <w:t>2</w:t>
            </w:r>
          </w:p>
        </w:tc>
        <w:tc>
          <w:tcPr>
            <w:tcW w:w="60" w:type="dxa"/>
            <w:vAlign w:val="bottom"/>
            <w:tcBorders>
              <w:right w:val="single" w:sz="8" w:color="auto"/>
            </w:tcBorders>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904" w:right="339"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Management’s Discussion and Analysis (the “MD&amp;A”) for Bitfarms Ltd. (together with its subsidiaries, the “Company” or “Bitfarms”) has been prepared as of November 6, 2023. This MD&amp;A is intended to supplement the Company’s third quarter 2023 unaudited interim condensed consolidated financial statements and its accompanying notes (the “Financial Statements”), and the Company’s 2022 audited annual consolidated financial statements and its accompanying notes (the “2022 Annual Financial Statements”). This MD&amp;A should be read in conjunction with the Company’s Annual Information Form dated March 20, 2023, which is available on SEDAR at www.sedarplus.ca and EDGAR at www.sec.gov/edgar.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Financial Statements have been prepared in accordance with International Financial Reporting Standards (“IFRS”) as issued by the International Accounting Standards Board (“IASB”), including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 Company’s Financial Statements and this MD&amp;A are reported in thousands of US dollars and US dollars, respectively, except where otherwise noted.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9 - </w:t>
      </w:r>
      <w:r>
        <w:rPr>
          <w:rFonts w:ascii="Arial" w:cs="Arial" w:eastAsia="Arial" w:hAnsi="Arial"/>
          <w:sz w:val="18"/>
          <w:szCs w:val="18"/>
          <w:i w:val="1"/>
          <w:iCs w:val="1"/>
          <w:color w:val="auto"/>
        </w:rPr>
        <w:t>Non-IFRS and Other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and Ratios </w:t>
      </w:r>
      <w:r>
        <w:rPr>
          <w:rFonts w:ascii="Arial" w:cs="Arial" w:eastAsia="Arial" w:hAnsi="Arial"/>
          <w:sz w:val="18"/>
          <w:szCs w:val="18"/>
          <w:color w:val="auto"/>
        </w:rPr>
        <w:t>and Section 20 -</w:t>
      </w:r>
      <w:r>
        <w:rPr>
          <w:rFonts w:ascii="Arial" w:cs="Arial" w:eastAsia="Arial" w:hAnsi="Arial"/>
          <w:sz w:val="18"/>
          <w:szCs w:val="18"/>
          <w:i w:val="1"/>
          <w:iCs w:val="1"/>
          <w:color w:val="auto"/>
        </w:rPr>
        <w:t xml:space="preserve"> Cautionary Note Regarding Non-IFRS and Other Financial Measures and Ratios </w:t>
      </w:r>
      <w:r>
        <w:rPr>
          <w:rFonts w:ascii="Arial" w:cs="Arial" w:eastAsia="Arial" w:hAnsi="Arial"/>
          <w:sz w:val="18"/>
          <w:szCs w:val="18"/>
          <w:color w:val="auto"/>
        </w:rPr>
        <w:t>of this MD&amp;A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MD&amp;A contains forward-looking statements. Refer to the risk factors described in Section 16 -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MD&amp;A, Section 18 - Risk Factors of the Company’s MD&amp;A for the year ended December 31, 2022 dated March 20, 2023 and to Section 19 -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of this MD&amp;A for more information. This MD&amp;A contains various terms related to the Company’s business and industry which are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22 - </w:t>
      </w:r>
      <w:r>
        <w:rPr>
          <w:rFonts w:ascii="Arial" w:cs="Arial" w:eastAsia="Arial" w:hAnsi="Arial"/>
          <w:sz w:val="18"/>
          <w:szCs w:val="18"/>
          <w:i w:val="1"/>
          <w:iCs w:val="1"/>
          <w:color w:val="auto"/>
        </w:rPr>
        <w:t>Glossary of Terms</w:t>
      </w:r>
      <w:r>
        <w:rPr>
          <w:rFonts w:ascii="Arial" w:cs="Arial" w:eastAsia="Arial" w:hAnsi="Arial"/>
          <w:sz w:val="18"/>
          <w:szCs w:val="18"/>
          <w:color w:val="auto"/>
        </w:rPr>
        <w:t xml:space="preserve"> of this MD&amp;A.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this MD&amp;A, the following terms shall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46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Q3 2023</w:t>
            </w:r>
          </w:p>
        </w:tc>
        <w:tc>
          <w:tcPr>
            <w:tcW w:w="8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Three months ended September 30, 2023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Q3 2022</w:t>
            </w:r>
          </w:p>
        </w:tc>
        <w:tc>
          <w:tcPr>
            <w:tcW w:w="8460" w:type="dxa"/>
            <w:vAlign w:val="bottom"/>
          </w:tcPr>
          <w:p>
            <w:pPr>
              <w:ind w:left="1720"/>
              <w:spacing w:after="0"/>
              <w:rPr>
                <w:sz w:val="20"/>
                <w:szCs w:val="20"/>
                <w:color w:val="auto"/>
              </w:rPr>
            </w:pPr>
            <w:r>
              <w:rPr>
                <w:rFonts w:ascii="Arial" w:cs="Arial" w:eastAsia="Arial" w:hAnsi="Arial"/>
                <w:sz w:val="18"/>
                <w:szCs w:val="18"/>
                <w:color w:val="auto"/>
              </w:rPr>
              <w:t>Three months ended September 30, 2022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YTD Q3 2023</w:t>
            </w:r>
          </w:p>
        </w:tc>
        <w:tc>
          <w:tcPr>
            <w:tcW w:w="8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Nine months ended September 30, 2023</w:t>
            </w: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YTD Q3 2022</w:t>
            </w:r>
          </w:p>
        </w:tc>
        <w:tc>
          <w:tcPr>
            <w:tcW w:w="84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Nine months ended September 30,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3  Page</w:t>
      </w:r>
    </w:p>
    <w:p>
      <w:pPr>
        <w:sectPr>
          <w:pgSz w:w="11900" w:h="16838" w:orient="portrait"/>
          <w:cols w:equalWidth="0" w:num="1">
            <w:col w:w="11240"/>
          </w:cols>
          <w:pgMar w:left="320" w:top="229" w:right="339"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COMPANY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(NASDAQ/TSX: BITF) is a global, publicly traded Bitcoin mining company. Bitfarms runs vertically integrated mining operations with in-house management system and company-owned electrical engineering, installation service, and onsite technical repair. The Company’s proprietary data analytics system delivers best-in-class operational performance and uptime.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Bitfarms owns and operates server farms comprised of computers (referred to as “Miners”) designed for the purpose of validating transactions on the Bitcoin (“BTC”) Blockchain (referred to as “Mining”). Bitfarms generally operates its Miners 24 hours a day, which produce computational power (measured by hashrate) that Bitfarms sells to a Mining Pool under a formula-driven rate commonly known in the industry as Full Pay Per Share (“FPPS”). Under FPPS, Mining Pools compensate Mining companies for their hashrate based on what the Mining Pool would expect to generate in revenue for a given time period if there was no randomness involved. The fee paid by a Mining Pool to Bitfarms for its hashrate may be in cryptocurrency, U.S. dollars, or another currency. Bitfarms accumulates the cryptocurrency fees it receives or exchanges them for U.S. dollars through reputable and established cryptocurrency trading platforms. Mining Pools generate revenue by Mining with purchased hashrate through the accumulation of Block Rewards and transaction fees issued by the BTC network. Mining Pools purchase hashrate and accept the risk of rewards not being commensurate with compensation paid with the aim to mine more blocks than they should in a given time period based on the computational power they have acquired.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operating Mining facilities situated in four countries: Canada, the United States, Argentina and Paraguay. Powered predominately by environmentally friendly hydro-electric and long-term power contracts, Bitfarms is committed to using sustainable, locally-based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ability to operate and secure power through its production sites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4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Operating</w:t>
            </w:r>
          </w:p>
        </w:tc>
        <w:tc>
          <w:tcPr>
            <w:tcW w:w="1380" w:type="dxa"/>
            <w:vAlign w:val="bottom"/>
            <w:tcBorders>
              <w:top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Contracted</w:t>
            </w:r>
          </w:p>
        </w:tc>
      </w:tr>
      <w:tr>
        <w:trPr>
          <w:trHeight w:val="216"/>
        </w:trPr>
        <w:tc>
          <w:tcPr>
            <w:tcW w:w="4840" w:type="dxa"/>
            <w:vAlign w:val="bottom"/>
          </w:tcPr>
          <w:p>
            <w:pPr>
              <w:spacing w:after="0"/>
              <w:rPr>
                <w:sz w:val="18"/>
                <w:szCs w:val="18"/>
                <w:color w:val="auto"/>
              </w:rPr>
            </w:pPr>
          </w:p>
        </w:tc>
        <w:tc>
          <w:tcPr>
            <w:tcW w:w="5020" w:type="dxa"/>
            <w:vAlign w:val="bottom"/>
          </w:tcPr>
          <w:p>
            <w:pPr>
              <w:jc w:val="right"/>
              <w:ind w:right="124"/>
              <w:spacing w:after="0"/>
              <w:rPr>
                <w:sz w:val="20"/>
                <w:szCs w:val="20"/>
                <w:color w:val="auto"/>
              </w:rPr>
            </w:pPr>
            <w:r>
              <w:rPr>
                <w:rFonts w:ascii="Arial" w:cs="Arial" w:eastAsia="Arial" w:hAnsi="Arial"/>
                <w:sz w:val="18"/>
                <w:szCs w:val="18"/>
                <w:b w:val="1"/>
                <w:bCs w:val="1"/>
                <w:color w:val="auto"/>
              </w:rPr>
              <w:t>power as of</w:t>
            </w:r>
          </w:p>
        </w:tc>
        <w:tc>
          <w:tcPr>
            <w:tcW w:w="1380" w:type="dxa"/>
            <w:vAlign w:val="bottom"/>
          </w:tcPr>
          <w:p>
            <w:pPr>
              <w:jc w:val="right"/>
              <w:ind w:right="158"/>
              <w:spacing w:after="0"/>
              <w:rPr>
                <w:sz w:val="20"/>
                <w:szCs w:val="20"/>
                <w:color w:val="auto"/>
              </w:rPr>
            </w:pPr>
            <w:r>
              <w:rPr>
                <w:rFonts w:ascii="Arial" w:cs="Arial" w:eastAsia="Arial" w:hAnsi="Arial"/>
                <w:sz w:val="18"/>
                <w:szCs w:val="18"/>
                <w:b w:val="1"/>
                <w:bCs w:val="1"/>
                <w:color w:val="auto"/>
              </w:rPr>
              <w:t>power as of</w:t>
            </w:r>
          </w:p>
        </w:tc>
      </w:tr>
      <w:tr>
        <w:trPr>
          <w:trHeight w:val="216"/>
        </w:trPr>
        <w:tc>
          <w:tcPr>
            <w:tcW w:w="4840" w:type="dxa"/>
            <w:vAlign w:val="bottom"/>
          </w:tcPr>
          <w:p>
            <w:pPr>
              <w:spacing w:after="0"/>
              <w:rPr>
                <w:sz w:val="18"/>
                <w:szCs w:val="18"/>
                <w:color w:val="auto"/>
              </w:rPr>
            </w:pPr>
          </w:p>
        </w:tc>
        <w:tc>
          <w:tcPr>
            <w:tcW w:w="5020" w:type="dxa"/>
            <w:vAlign w:val="bottom"/>
          </w:tcPr>
          <w:p>
            <w:pPr>
              <w:jc w:val="right"/>
              <w:ind w:right="124"/>
              <w:spacing w:after="0"/>
              <w:rPr>
                <w:sz w:val="20"/>
                <w:szCs w:val="20"/>
                <w:color w:val="auto"/>
              </w:rPr>
            </w:pPr>
            <w:r>
              <w:rPr>
                <w:rFonts w:ascii="Arial" w:cs="Arial" w:eastAsia="Arial" w:hAnsi="Arial"/>
                <w:sz w:val="18"/>
                <w:szCs w:val="18"/>
                <w:b w:val="1"/>
                <w:bCs w:val="1"/>
                <w:color w:val="auto"/>
              </w:rPr>
              <w:t>November 6,</w:t>
            </w:r>
          </w:p>
        </w:tc>
        <w:tc>
          <w:tcPr>
            <w:tcW w:w="1380" w:type="dxa"/>
            <w:vAlign w:val="bottom"/>
          </w:tcPr>
          <w:p>
            <w:pPr>
              <w:jc w:val="right"/>
              <w:ind w:right="158"/>
              <w:spacing w:after="0"/>
              <w:rPr>
                <w:sz w:val="20"/>
                <w:szCs w:val="20"/>
                <w:color w:val="auto"/>
              </w:rPr>
            </w:pPr>
            <w:r>
              <w:rPr>
                <w:rFonts w:ascii="Arial" w:cs="Arial" w:eastAsia="Arial" w:hAnsi="Arial"/>
                <w:sz w:val="18"/>
                <w:szCs w:val="18"/>
                <w:b w:val="1"/>
                <w:bCs w:val="1"/>
                <w:color w:val="auto"/>
              </w:rPr>
              <w:t>November 6,</w:t>
            </w:r>
          </w:p>
        </w:tc>
      </w:t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5020" w:type="dxa"/>
            <w:vAlign w:val="bottom"/>
          </w:tcPr>
          <w:p>
            <w:pPr>
              <w:jc w:val="right"/>
              <w:ind w:right="124"/>
              <w:spacing w:after="0"/>
              <w:rPr>
                <w:sz w:val="20"/>
                <w:szCs w:val="20"/>
                <w:color w:val="auto"/>
              </w:rPr>
            </w:pPr>
            <w:r>
              <w:rPr>
                <w:rFonts w:ascii="Arial" w:cs="Arial" w:eastAsia="Arial" w:hAnsi="Arial"/>
                <w:sz w:val="18"/>
                <w:szCs w:val="18"/>
                <w:b w:val="1"/>
                <w:bCs w:val="1"/>
                <w:color w:val="auto"/>
              </w:rPr>
              <w:t>2023</w:t>
            </w:r>
          </w:p>
        </w:tc>
        <w:tc>
          <w:tcPr>
            <w:tcW w:w="1380" w:type="dxa"/>
            <w:vAlign w:val="bottom"/>
          </w:tcPr>
          <w:p>
            <w:pPr>
              <w:jc w:val="right"/>
              <w:ind w:right="158"/>
              <w:spacing w:after="0"/>
              <w:rPr>
                <w:sz w:val="20"/>
                <w:szCs w:val="20"/>
                <w:color w:val="auto"/>
              </w:rPr>
            </w:pPr>
            <w:r>
              <w:rPr>
                <w:rFonts w:ascii="Arial" w:cs="Arial" w:eastAsia="Arial" w:hAnsi="Arial"/>
                <w:sz w:val="18"/>
                <w:szCs w:val="18"/>
                <w:b w:val="1"/>
                <w:bCs w:val="1"/>
                <w:color w:val="auto"/>
              </w:rPr>
              <w:t>2023</w:t>
            </w:r>
          </w:p>
        </w:tc>
      </w:tr>
      <w:tr>
        <w:trPr>
          <w:trHeight w:val="28"/>
        </w:trPr>
        <w:tc>
          <w:tcPr>
            <w:tcW w:w="484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Canada</w:t>
            </w:r>
          </w:p>
        </w:tc>
        <w:tc>
          <w:tcPr>
            <w:tcW w:w="5020" w:type="dxa"/>
            <w:vAlign w:val="bottom"/>
            <w:shd w:val="clear" w:color="auto" w:fill="000000"/>
          </w:tcPr>
          <w:p>
            <w:pPr>
              <w:jc w:val="right"/>
              <w:ind w:right="124"/>
              <w:spacing w:after="0" w:line="29" w:lineRule="exact"/>
              <w:rPr>
                <w:sz w:val="20"/>
                <w:szCs w:val="20"/>
                <w:color w:val="auto"/>
              </w:rPr>
            </w:pPr>
            <w:r>
              <w:rPr>
                <w:rFonts w:ascii="Arial" w:cs="Arial" w:eastAsia="Arial" w:hAnsi="Arial"/>
                <w:sz w:val="3"/>
                <w:szCs w:val="3"/>
                <w:color w:val="auto"/>
              </w:rPr>
              <w:t>158 MW</w:t>
            </w:r>
          </w:p>
        </w:tc>
        <w:tc>
          <w:tcPr>
            <w:tcW w:w="1380" w:type="dxa"/>
            <w:vAlign w:val="bottom"/>
            <w:shd w:val="clear" w:color="auto" w:fill="000000"/>
          </w:tcPr>
          <w:p>
            <w:pPr>
              <w:jc w:val="right"/>
              <w:ind w:right="158"/>
              <w:spacing w:after="0" w:line="29" w:lineRule="exact"/>
              <w:rPr>
                <w:sz w:val="20"/>
                <w:szCs w:val="20"/>
                <w:color w:val="auto"/>
              </w:rPr>
            </w:pPr>
            <w:r>
              <w:rPr>
                <w:rFonts w:ascii="Arial" w:cs="Arial" w:eastAsia="Arial" w:hAnsi="Arial"/>
                <w:sz w:val="3"/>
                <w:szCs w:val="3"/>
                <w:color w:val="auto"/>
              </w:rPr>
              <w:t>179 MW</w:t>
            </w:r>
          </w:p>
        </w:tc>
      </w:tr>
      <w:tr>
        <w:trPr>
          <w:trHeight w:val="195"/>
        </w:trPr>
        <w:tc>
          <w:tcPr>
            <w:tcW w:w="484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38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79"/>
              </w:rPr>
              <w:t>1, 2</w:t>
            </w:r>
          </w:p>
        </w:tc>
      </w:tr>
      <w:tr>
        <w:trPr>
          <w:trHeight w:val="21"/>
        </w:trPr>
        <w:tc>
          <w:tcPr>
            <w:tcW w:w="4840" w:type="dxa"/>
            <w:vAlign w:val="bottom"/>
          </w:tcPr>
          <w:p>
            <w:pPr>
              <w:spacing w:after="0" w:line="21" w:lineRule="exact"/>
              <w:rPr>
                <w:sz w:val="20"/>
                <w:szCs w:val="20"/>
                <w:color w:val="auto"/>
              </w:rPr>
            </w:pPr>
            <w:r>
              <w:rPr>
                <w:rFonts w:ascii="Arial" w:cs="Arial" w:eastAsia="Arial" w:hAnsi="Arial"/>
                <w:sz w:val="2"/>
                <w:szCs w:val="2"/>
                <w:color w:val="auto"/>
              </w:rPr>
              <w:t>United States</w:t>
            </w:r>
          </w:p>
        </w:tc>
        <w:tc>
          <w:tcPr>
            <w:tcW w:w="5020" w:type="dxa"/>
            <w:vAlign w:val="bottom"/>
          </w:tcPr>
          <w:p>
            <w:pPr>
              <w:jc w:val="right"/>
              <w:ind w:right="124"/>
              <w:spacing w:after="0" w:line="21" w:lineRule="exact"/>
              <w:rPr>
                <w:sz w:val="20"/>
                <w:szCs w:val="20"/>
                <w:color w:val="auto"/>
              </w:rPr>
            </w:pPr>
            <w:r>
              <w:rPr>
                <w:rFonts w:ascii="Arial" w:cs="Arial" w:eastAsia="Arial" w:hAnsi="Arial"/>
                <w:sz w:val="2"/>
                <w:szCs w:val="2"/>
                <w:color w:val="auto"/>
              </w:rPr>
              <w:t>18 MW</w:t>
            </w:r>
          </w:p>
        </w:tc>
        <w:tc>
          <w:tcPr>
            <w:tcW w:w="1380" w:type="dxa"/>
            <w:vAlign w:val="bottom"/>
          </w:tcPr>
          <w:p>
            <w:pPr>
              <w:jc w:val="right"/>
              <w:ind w:right="158"/>
              <w:spacing w:after="0" w:line="21" w:lineRule="exact"/>
              <w:rPr>
                <w:sz w:val="20"/>
                <w:szCs w:val="20"/>
                <w:color w:val="auto"/>
              </w:rPr>
            </w:pPr>
            <w:r>
              <w:rPr>
                <w:rFonts w:ascii="Arial" w:cs="Arial" w:eastAsia="Arial" w:hAnsi="Arial"/>
                <w:sz w:val="2"/>
                <w:szCs w:val="2"/>
                <w:color w:val="auto"/>
              </w:rPr>
              <w:t>24 MW</w:t>
            </w:r>
          </w:p>
        </w:tc>
      </w:tr>
      <w:tr>
        <w:trPr>
          <w:trHeight w:val="195"/>
        </w:trPr>
        <w:tc>
          <w:tcPr>
            <w:tcW w:w="48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380" w:type="dxa"/>
            <w:vAlign w:val="bottom"/>
          </w:tcPr>
          <w:p>
            <w:pPr>
              <w:ind w:left="1160"/>
              <w:spacing w:after="0"/>
              <w:rPr>
                <w:sz w:val="20"/>
                <w:szCs w:val="20"/>
                <w:color w:val="auto"/>
              </w:rPr>
            </w:pPr>
            <w:r>
              <w:rPr>
                <w:rFonts w:ascii="Arial" w:cs="Arial" w:eastAsia="Arial" w:hAnsi="Arial"/>
                <w:sz w:val="15"/>
                <w:szCs w:val="15"/>
                <w:color w:val="auto"/>
              </w:rPr>
              <w:t>2</w:t>
            </w:r>
          </w:p>
        </w:tc>
      </w:tr>
      <w:tr>
        <w:trPr>
          <w:trHeight w:val="21"/>
        </w:trPr>
        <w:tc>
          <w:tcPr>
            <w:tcW w:w="4840" w:type="dxa"/>
            <w:vAlign w:val="bottom"/>
            <w:shd w:val="clear" w:color="auto" w:fill="CCEEFF"/>
          </w:tcPr>
          <w:p>
            <w:pPr>
              <w:spacing w:after="0" w:line="21" w:lineRule="exact"/>
              <w:rPr>
                <w:sz w:val="20"/>
                <w:szCs w:val="20"/>
                <w:color w:val="auto"/>
              </w:rPr>
            </w:pPr>
            <w:r>
              <w:rPr>
                <w:rFonts w:ascii="Arial" w:cs="Arial" w:eastAsia="Arial" w:hAnsi="Arial"/>
                <w:sz w:val="2"/>
                <w:szCs w:val="2"/>
                <w:color w:val="auto"/>
              </w:rPr>
              <w:t>Paraguay</w:t>
            </w:r>
          </w:p>
        </w:tc>
        <w:tc>
          <w:tcPr>
            <w:tcW w:w="5020" w:type="dxa"/>
            <w:vAlign w:val="bottom"/>
            <w:shd w:val="clear" w:color="auto" w:fill="CCEEFF"/>
          </w:tcPr>
          <w:p>
            <w:pPr>
              <w:jc w:val="right"/>
              <w:ind w:right="124"/>
              <w:spacing w:after="0" w:line="21" w:lineRule="exact"/>
              <w:rPr>
                <w:sz w:val="20"/>
                <w:szCs w:val="20"/>
                <w:color w:val="auto"/>
              </w:rPr>
            </w:pPr>
            <w:r>
              <w:rPr>
                <w:rFonts w:ascii="Arial" w:cs="Arial" w:eastAsia="Arial" w:hAnsi="Arial"/>
                <w:sz w:val="2"/>
                <w:szCs w:val="2"/>
                <w:color w:val="auto"/>
              </w:rPr>
              <w:t>10 MW</w:t>
            </w:r>
          </w:p>
        </w:tc>
        <w:tc>
          <w:tcPr>
            <w:tcW w:w="1380" w:type="dxa"/>
            <w:vAlign w:val="bottom"/>
            <w:shd w:val="clear" w:color="auto" w:fill="CCEEFF"/>
          </w:tcPr>
          <w:p>
            <w:pPr>
              <w:jc w:val="right"/>
              <w:ind w:right="158"/>
              <w:spacing w:after="0" w:line="21" w:lineRule="exact"/>
              <w:rPr>
                <w:sz w:val="20"/>
                <w:szCs w:val="20"/>
                <w:color w:val="auto"/>
              </w:rPr>
            </w:pPr>
            <w:r>
              <w:rPr>
                <w:rFonts w:ascii="Arial" w:cs="Arial" w:eastAsia="Arial" w:hAnsi="Arial"/>
                <w:sz w:val="2"/>
                <w:szCs w:val="2"/>
                <w:color w:val="auto"/>
              </w:rPr>
              <w:t>160 MW</w:t>
            </w:r>
          </w:p>
        </w:tc>
      </w:tr>
      <w:tr>
        <w:trPr>
          <w:trHeight w:val="195"/>
        </w:trPr>
        <w:tc>
          <w:tcPr>
            <w:tcW w:w="484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380" w:type="dxa"/>
            <w:vAlign w:val="bottom"/>
            <w:shd w:val="clear" w:color="auto" w:fill="CCEEFF"/>
          </w:tcPr>
          <w:p>
            <w:pPr>
              <w:ind w:left="1160"/>
              <w:spacing w:after="0"/>
              <w:rPr>
                <w:sz w:val="20"/>
                <w:szCs w:val="20"/>
                <w:color w:val="auto"/>
              </w:rPr>
            </w:pPr>
            <w:r>
              <w:rPr>
                <w:rFonts w:ascii="Arial" w:cs="Arial" w:eastAsia="Arial" w:hAnsi="Arial"/>
                <w:sz w:val="15"/>
                <w:szCs w:val="15"/>
                <w:color w:val="auto"/>
              </w:rPr>
              <w:t>2</w:t>
            </w:r>
          </w:p>
        </w:tc>
      </w:tr>
      <w:tr>
        <w:trPr>
          <w:trHeight w:val="21"/>
        </w:trPr>
        <w:tc>
          <w:tcPr>
            <w:tcW w:w="4840" w:type="dxa"/>
            <w:vAlign w:val="bottom"/>
          </w:tcPr>
          <w:p>
            <w:pPr>
              <w:spacing w:after="0" w:line="21" w:lineRule="exact"/>
              <w:rPr>
                <w:sz w:val="20"/>
                <w:szCs w:val="20"/>
                <w:color w:val="auto"/>
              </w:rPr>
            </w:pPr>
            <w:r>
              <w:rPr>
                <w:rFonts w:ascii="Arial" w:cs="Arial" w:eastAsia="Arial" w:hAnsi="Arial"/>
                <w:sz w:val="2"/>
                <w:szCs w:val="2"/>
                <w:color w:val="auto"/>
              </w:rPr>
              <w:t>Argentina</w:t>
            </w:r>
          </w:p>
        </w:tc>
        <w:tc>
          <w:tcPr>
            <w:tcW w:w="5020" w:type="dxa"/>
            <w:vAlign w:val="bottom"/>
          </w:tcPr>
          <w:p>
            <w:pPr>
              <w:jc w:val="right"/>
              <w:ind w:right="124"/>
              <w:spacing w:after="0" w:line="21" w:lineRule="exact"/>
              <w:rPr>
                <w:sz w:val="20"/>
                <w:szCs w:val="20"/>
                <w:color w:val="auto"/>
              </w:rPr>
            </w:pPr>
            <w:r>
              <w:rPr>
                <w:rFonts w:ascii="Arial" w:cs="Arial" w:eastAsia="Arial" w:hAnsi="Arial"/>
                <w:sz w:val="2"/>
                <w:szCs w:val="2"/>
                <w:color w:val="auto"/>
              </w:rPr>
              <w:t>54 MW</w:t>
            </w:r>
          </w:p>
        </w:tc>
        <w:tc>
          <w:tcPr>
            <w:tcW w:w="1380" w:type="dxa"/>
            <w:vAlign w:val="bottom"/>
          </w:tcPr>
          <w:p>
            <w:pPr>
              <w:jc w:val="right"/>
              <w:ind w:right="158"/>
              <w:spacing w:after="0" w:line="21" w:lineRule="exact"/>
              <w:rPr>
                <w:sz w:val="20"/>
                <w:szCs w:val="20"/>
                <w:color w:val="auto"/>
              </w:rPr>
            </w:pPr>
            <w:r>
              <w:rPr>
                <w:rFonts w:ascii="Arial" w:cs="Arial" w:eastAsia="Arial" w:hAnsi="Arial"/>
                <w:sz w:val="2"/>
                <w:szCs w:val="2"/>
                <w:color w:val="auto"/>
              </w:rPr>
              <w:t>210 MW</w:t>
            </w:r>
          </w:p>
        </w:tc>
      </w:tr>
      <w:tr>
        <w:trPr>
          <w:trHeight w:val="195"/>
        </w:trPr>
        <w:tc>
          <w:tcPr>
            <w:tcW w:w="484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5"/>
                <w:szCs w:val="15"/>
                <w:color w:val="auto"/>
              </w:rPr>
              <w:t>2</w:t>
            </w:r>
          </w:p>
        </w:tc>
      </w:tr>
      <w:tr>
        <w:trPr>
          <w:trHeight w:val="215"/>
        </w:trPr>
        <w:tc>
          <w:tcPr>
            <w:tcW w:w="4840" w:type="dxa"/>
            <w:vAlign w:val="bottom"/>
            <w:tcBorders>
              <w:bottom w:val="single" w:sz="8" w:color="auto"/>
            </w:tcBorders>
            <w:shd w:val="clear" w:color="auto" w:fill="CCEEFF"/>
          </w:tcPr>
          <w:p>
            <w:pPr>
              <w:spacing w:after="0"/>
              <w:rPr>
                <w:sz w:val="18"/>
                <w:szCs w:val="18"/>
                <w:color w:val="auto"/>
              </w:rPr>
            </w:pPr>
          </w:p>
        </w:tc>
        <w:tc>
          <w:tcPr>
            <w:tcW w:w="5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240 MW</w:t>
            </w:r>
          </w:p>
        </w:tc>
        <w:tc>
          <w:tcPr>
            <w:tcW w:w="13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573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200" w:hanging="192"/>
        <w:spacing w:after="0" w:line="202" w:lineRule="auto"/>
        <w:tabs>
          <w:tab w:leader="none" w:pos="200" w:val="left"/>
        </w:tabs>
        <w:numPr>
          <w:ilvl w:val="0"/>
          <w:numId w:val="25"/>
        </w:numPr>
        <w:rPr>
          <w:rFonts w:ascii="Arial" w:cs="Arial" w:eastAsia="Arial" w:hAnsi="Arial"/>
          <w:sz w:val="29"/>
          <w:szCs w:val="29"/>
          <w:color w:val="auto"/>
          <w:vertAlign w:val="superscript"/>
        </w:rPr>
      </w:pPr>
      <w:r>
        <w:rPr>
          <w:rFonts w:ascii="Arial" w:cs="Arial" w:eastAsia="Arial" w:hAnsi="Arial"/>
          <w:sz w:val="17"/>
          <w:szCs w:val="17"/>
          <w:color w:val="auto"/>
        </w:rPr>
        <w:t>The Company has secured the rights for 10 MW of hydro-electricity in the province of Quebec, but does not currently have an expansion plan for these 10 MW of power. Bitfarms is continuing its efforts to search for economically viable properties for these 10 MW of hydro-electricity.</w:t>
      </w:r>
    </w:p>
    <w:p>
      <w:pPr>
        <w:ind w:left="200" w:hanging="192"/>
        <w:spacing w:after="0" w:line="181" w:lineRule="auto"/>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 xml:space="preserve">Refer to section 6 - </w:t>
      </w:r>
      <w:r>
        <w:rPr>
          <w:rFonts w:ascii="Arial" w:cs="Arial" w:eastAsia="Arial" w:hAnsi="Arial"/>
          <w:sz w:val="15"/>
          <w:szCs w:val="15"/>
          <w:i w:val="1"/>
          <w:iCs w:val="1"/>
          <w:color w:val="auto"/>
        </w:rPr>
        <w:t>Expansion Projects</w:t>
      </w:r>
      <w:r>
        <w:rPr>
          <w:rFonts w:ascii="Arial" w:cs="Arial" w:eastAsia="Arial" w:hAnsi="Arial"/>
          <w:sz w:val="15"/>
          <w:szCs w:val="15"/>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4  Page</w:t>
      </w:r>
    </w:p>
    <w:p>
      <w:pPr>
        <w:sectPr>
          <w:pgSz w:w="11900" w:h="16838" w:orient="portrait"/>
          <w:cols w:equalWidth="0" w:num="1">
            <w:col w:w="11240"/>
          </w:cols>
          <w:pgMar w:left="320" w:top="229" w:right="339"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3. FINANCIAL HIGHLIGHTS</w:t>
            </w: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38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26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2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7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78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34,596</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33,247</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100,125</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115,391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(loss) profit</w:t>
            </w:r>
          </w:p>
        </w:tc>
        <w:tc>
          <w:tcPr>
            <w:tcW w:w="2780" w:type="dxa"/>
            <w:vAlign w:val="bottom"/>
          </w:tcPr>
          <w:p>
            <w:pPr>
              <w:jc w:val="right"/>
              <w:ind w:right="650"/>
              <w:spacing w:after="0"/>
              <w:rPr>
                <w:sz w:val="20"/>
                <w:szCs w:val="20"/>
                <w:color w:val="auto"/>
              </w:rPr>
            </w:pPr>
            <w:r>
              <w:rPr>
                <w:rFonts w:ascii="Arial" w:cs="Arial" w:eastAsia="Arial" w:hAnsi="Arial"/>
                <w:sz w:val="18"/>
                <w:szCs w:val="18"/>
                <w:b w:val="1"/>
                <w:bCs w:val="1"/>
                <w:color w:val="auto"/>
              </w:rPr>
              <w:t>(8,866)</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(3,939)</w:t>
            </w: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(23,259)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22,602</w:t>
            </w:r>
          </w:p>
        </w:tc>
      </w:tr>
      <w:tr>
        <w:trPr>
          <w:trHeight w:val="257"/>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27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7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loss</w:t>
            </w:r>
          </w:p>
        </w:tc>
        <w:tc>
          <w:tcPr>
            <w:tcW w:w="2780" w:type="dxa"/>
            <w:vAlign w:val="bottom"/>
          </w:tcPr>
          <w:p>
            <w:pPr>
              <w:jc w:val="right"/>
              <w:ind w:right="650"/>
              <w:spacing w:after="0"/>
              <w:rPr>
                <w:sz w:val="20"/>
                <w:szCs w:val="20"/>
                <w:color w:val="auto"/>
              </w:rPr>
            </w:pPr>
            <w:r>
              <w:rPr>
                <w:rFonts w:ascii="Arial" w:cs="Arial" w:eastAsia="Arial" w:hAnsi="Arial"/>
                <w:sz w:val="18"/>
                <w:szCs w:val="18"/>
                <w:b w:val="1"/>
                <w:bCs w:val="1"/>
                <w:color w:val="auto"/>
              </w:rPr>
              <w:t>(18,638)</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(97,784)</w:t>
            </w: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(59,392)</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93"/>
              </w:rPr>
              <w:t>(264,001)</w:t>
            </w:r>
          </w:p>
        </w:tc>
      </w:tr>
      <w:tr>
        <w:trPr>
          <w:trHeight w:val="270"/>
        </w:trPr>
        <w:tc>
          <w:tcPr>
            <w:tcW w:w="4740" w:type="dxa"/>
            <w:vAlign w:val="bottom"/>
            <w:tcBorders>
              <w:bottom w:val="single" w:sz="8" w:color="auto"/>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2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(54)%</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(294)%</w:t>
            </w:r>
          </w:p>
        </w:tc>
        <w:tc>
          <w:tcPr>
            <w:tcW w:w="17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(59)%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2780" w:type="dxa"/>
            <w:vAlign w:val="bottom"/>
          </w:tcPr>
          <w:p>
            <w:pPr>
              <w:jc w:val="right"/>
              <w:ind w:right="650"/>
              <w:spacing w:after="0"/>
              <w:rPr>
                <w:sz w:val="20"/>
                <w:szCs w:val="20"/>
                <w:color w:val="auto"/>
              </w:rPr>
            </w:pPr>
            <w:r>
              <w:rPr>
                <w:rFonts w:ascii="Arial" w:cs="Arial" w:eastAsia="Arial" w:hAnsi="Arial"/>
                <w:sz w:val="18"/>
                <w:szCs w:val="18"/>
                <w:b w:val="1"/>
                <w:bCs w:val="1"/>
                <w:color w:val="auto"/>
              </w:rPr>
              <w:t>(18,703)</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(84,808)</w:t>
            </w: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(46,663)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93"/>
              </w:rPr>
              <w:t>(222,207)</w:t>
            </w:r>
          </w:p>
        </w:tc>
      </w:tr>
      <w:tr>
        <w:trPr>
          <w:trHeight w:val="23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7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(0.07)</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(0.40)</w:t>
            </w:r>
          </w:p>
        </w:tc>
        <w:tc>
          <w:tcPr>
            <w:tcW w:w="17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(0.19)</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r>
      <w:tr>
        <w:trPr>
          <w:trHeight w:val="250"/>
        </w:trPr>
        <w:tc>
          <w:tcPr>
            <w:tcW w:w="4740" w:type="dxa"/>
            <w:vAlign w:val="bottom"/>
          </w:tcPr>
          <w:p>
            <w:pPr>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(2)</w:t>
            </w:r>
          </w:p>
        </w:tc>
        <w:tc>
          <w:tcPr>
            <w:tcW w:w="2780" w:type="dxa"/>
            <w:vAlign w:val="bottom"/>
          </w:tcPr>
          <w:p>
            <w:pPr>
              <w:jc w:val="right"/>
              <w:ind w:right="710"/>
              <w:spacing w:after="0"/>
              <w:rPr>
                <w:sz w:val="20"/>
                <w:szCs w:val="20"/>
                <w:color w:val="auto"/>
              </w:rPr>
            </w:pPr>
            <w:r>
              <w:rPr>
                <w:rFonts w:ascii="Arial" w:cs="Arial" w:eastAsia="Arial" w:hAnsi="Arial"/>
                <w:sz w:val="18"/>
                <w:szCs w:val="18"/>
                <w:b w:val="1"/>
                <w:bCs w:val="1"/>
                <w:color w:val="auto"/>
              </w:rPr>
              <w:t>12,505</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16,789</w:t>
            </w:r>
          </w:p>
        </w:tc>
        <w:tc>
          <w:tcPr>
            <w:tcW w:w="1720" w:type="dxa"/>
            <w:vAlign w:val="bottom"/>
          </w:tcPr>
          <w:p>
            <w:pPr>
              <w:jc w:val="right"/>
              <w:ind w:right="670"/>
              <w:spacing w:after="0"/>
              <w:rPr>
                <w:sz w:val="20"/>
                <w:szCs w:val="20"/>
                <w:color w:val="auto"/>
              </w:rPr>
            </w:pPr>
            <w:r>
              <w:rPr>
                <w:rFonts w:ascii="Arial" w:cs="Arial" w:eastAsia="Arial" w:hAnsi="Arial"/>
                <w:sz w:val="18"/>
                <w:szCs w:val="18"/>
                <w:b w:val="1"/>
                <w:bCs w:val="1"/>
                <w:color w:val="auto"/>
              </w:rPr>
              <w:t>39,017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74,089</w:t>
            </w:r>
          </w:p>
        </w:tc>
      </w:tr>
      <w:tr>
        <w:trPr>
          <w:trHeight w:val="257"/>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27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38%</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6"/>
        </w:trPr>
        <w:tc>
          <w:tcPr>
            <w:tcW w:w="474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2780" w:type="dxa"/>
            <w:vAlign w:val="bottom"/>
          </w:tcPr>
          <w:p>
            <w:pPr>
              <w:jc w:val="right"/>
              <w:ind w:right="710"/>
              <w:spacing w:after="0"/>
              <w:rPr>
                <w:sz w:val="20"/>
                <w:szCs w:val="20"/>
                <w:color w:val="auto"/>
              </w:rPr>
            </w:pPr>
            <w:r>
              <w:rPr>
                <w:rFonts w:ascii="Arial" w:cs="Arial" w:eastAsia="Arial" w:hAnsi="Arial"/>
                <w:sz w:val="18"/>
                <w:szCs w:val="18"/>
                <w:b w:val="1"/>
                <w:bCs w:val="1"/>
                <w:color w:val="auto"/>
              </w:rPr>
              <w:t>6,866</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10,325</w:t>
            </w:r>
          </w:p>
        </w:tc>
        <w:tc>
          <w:tcPr>
            <w:tcW w:w="1720" w:type="dxa"/>
            <w:vAlign w:val="bottom"/>
          </w:tcPr>
          <w:p>
            <w:pPr>
              <w:jc w:val="right"/>
              <w:ind w:right="670"/>
              <w:spacing w:after="0"/>
              <w:rPr>
                <w:sz w:val="20"/>
                <w:szCs w:val="20"/>
                <w:color w:val="auto"/>
              </w:rPr>
            </w:pPr>
            <w:r>
              <w:rPr>
                <w:rFonts w:ascii="Arial" w:cs="Arial" w:eastAsia="Arial" w:hAnsi="Arial"/>
                <w:sz w:val="18"/>
                <w:szCs w:val="18"/>
                <w:b w:val="1"/>
                <w:bCs w:val="1"/>
                <w:color w:val="auto"/>
              </w:rPr>
              <w:t>21,107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52,326</w:t>
            </w:r>
          </w:p>
        </w:tc>
      </w:tr>
      <w:tr>
        <w:trPr>
          <w:trHeight w:val="270"/>
        </w:trPr>
        <w:tc>
          <w:tcPr>
            <w:tcW w:w="4740" w:type="dxa"/>
            <w:vAlign w:val="bottom"/>
            <w:tcBorders>
              <w:bottom w:val="single" w:sz="8" w:color="auto"/>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27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1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453"/>
        </w:trPr>
        <w:tc>
          <w:tcPr>
            <w:tcW w:w="47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 xml:space="preserve">As of September 30,  </w:t>
            </w:r>
            <w:r>
              <w:rPr>
                <w:rFonts w:ascii="Arial" w:cs="Arial" w:eastAsia="Arial" w:hAnsi="Arial"/>
                <w:sz w:val="18"/>
                <w:szCs w:val="18"/>
                <w:color w:val="auto"/>
              </w:rPr>
              <w:t>As of December 31,</w:t>
            </w:r>
          </w:p>
        </w:tc>
      </w:tr>
      <w:tr>
        <w:trPr>
          <w:trHeight w:val="223"/>
        </w:trPr>
        <w:tc>
          <w:tcPr>
            <w:tcW w:w="47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332,797</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343,098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financial liabilities</w:t>
            </w: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jc w:val="right"/>
              <w:ind w:right="770"/>
              <w:spacing w:after="0"/>
              <w:rPr>
                <w:sz w:val="20"/>
                <w:szCs w:val="20"/>
                <w:color w:val="auto"/>
              </w:rPr>
            </w:pPr>
            <w:r>
              <w:rPr>
                <w:rFonts w:ascii="Arial" w:cs="Arial" w:eastAsia="Arial" w:hAnsi="Arial"/>
                <w:sz w:val="18"/>
                <w:szCs w:val="18"/>
                <w:b w:val="1"/>
                <w:bCs w:val="1"/>
                <w:color w:val="auto"/>
              </w:rPr>
              <w:t>17,534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55,951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liabilities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108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r>
        <w:trPr>
          <w:trHeight w:val="229"/>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included in financial liabilities</w:t>
            </w:r>
          </w:p>
        </w:tc>
        <w:tc>
          <w:tcPr>
            <w:tcW w:w="2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10,021</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29"/>
          <w:szCs w:val="29"/>
          <w:color w:val="auto"/>
          <w:vertAlign w:val="superscript"/>
        </w:rPr>
      </w:pPr>
      <w:r>
        <w:rPr>
          <w:rFonts w:ascii="Arial" w:cs="Arial" w:eastAsia="Arial" w:hAnsi="Arial"/>
          <w:sz w:val="17"/>
          <w:szCs w:val="17"/>
          <w:color w:val="auto"/>
        </w:rPr>
        <w:t xml:space="preserve">Gross margin and Operating margin are supplemental financial ratios; refer to section 9 - </w:t>
      </w:r>
      <w:r>
        <w:rPr>
          <w:rFonts w:ascii="Arial" w:cs="Arial" w:eastAsia="Arial" w:hAnsi="Arial"/>
          <w:sz w:val="17"/>
          <w:szCs w:val="17"/>
          <w:i w:val="1"/>
          <w:iCs w:val="1"/>
          <w:color w:val="auto"/>
        </w:rPr>
        <w:t>Non-IFRS and Other Financial Measures and Ratios</w:t>
      </w:r>
      <w:r>
        <w:rPr>
          <w:rFonts w:ascii="Arial" w:cs="Arial" w:eastAsia="Arial" w:hAnsi="Arial"/>
          <w:sz w:val="17"/>
          <w:szCs w:val="17"/>
          <w:color w:val="auto"/>
        </w:rPr>
        <w:t>.</w:t>
      </w:r>
    </w:p>
    <w:p>
      <w:pPr>
        <w:spacing w:after="0" w:line="1" w:lineRule="exact"/>
        <w:rPr>
          <w:sz w:val="20"/>
          <w:szCs w:val="20"/>
          <w:color w:val="auto"/>
        </w:rPr>
      </w:pPr>
    </w:p>
    <w:p>
      <w:pPr>
        <w:ind w:left="200" w:right="80" w:hanging="192"/>
        <w:spacing w:after="0" w:line="187" w:lineRule="auto"/>
        <w:tabs>
          <w:tab w:leader="none" w:pos="20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 xml:space="preserve">Gross Mining profit, Gross Mining margin, Adjusted EBITDA and Adjusted EBITDA margin are non-IFRS measures or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5  Page</w:t>
      </w:r>
    </w:p>
    <w:p>
      <w:pPr>
        <w:sectPr>
          <w:pgSz w:w="11900" w:h="16838" w:orient="portrait"/>
          <w:cols w:equalWidth="0" w:num="1">
            <w:col w:w="11240"/>
          </w:cols>
          <w:pgMar w:left="320" w:top="229" w:right="339"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THIRD QUARTER 2023 FINANCIAL RESULTS AND OPERATIONAL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27" w:lineRule="exact"/>
        <w:rPr>
          <w:sz w:val="20"/>
          <w:szCs w:val="20"/>
          <w:color w:val="auto"/>
        </w:rPr>
      </w:pPr>
    </w:p>
    <w:p>
      <w:pPr>
        <w:ind w:left="340" w:hanging="332"/>
        <w:spacing w:after="0" w:line="183" w:lineRule="auto"/>
        <w:tabs>
          <w:tab w:leader="none" w:pos="340" w:val="left"/>
        </w:tabs>
        <w:numPr>
          <w:ilvl w:val="0"/>
          <w:numId w:val="29"/>
        </w:numPr>
        <w:rPr>
          <w:rFonts w:ascii="Arial" w:cs="Arial" w:eastAsia="Arial" w:hAnsi="Arial"/>
          <w:sz w:val="35"/>
          <w:szCs w:val="35"/>
          <w:color w:val="auto"/>
          <w:vertAlign w:val="superscript"/>
        </w:rPr>
      </w:pPr>
      <w:r>
        <w:rPr>
          <w:rFonts w:ascii="Arial" w:cs="Arial" w:eastAsia="Arial" w:hAnsi="Arial"/>
          <w:sz w:val="18"/>
          <w:szCs w:val="18"/>
          <w:color w:val="auto"/>
        </w:rPr>
        <w:t>Revenues of $34.6 million, gross loss of $8.9 million (gross margin</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of negative 26%) including non-cash depreciation and amortization expense of $21.8 million, operating loss of $18.6 million (operating margin</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of negative 54%) and net loss of $18.7 million;</w:t>
      </w:r>
    </w:p>
    <w:p>
      <w:pPr>
        <w:spacing w:after="0" w:line="2" w:lineRule="exact"/>
        <w:rPr>
          <w:rFonts w:ascii="Arial" w:cs="Arial" w:eastAsia="Arial" w:hAnsi="Arial"/>
          <w:sz w:val="35"/>
          <w:szCs w:val="35"/>
          <w:color w:val="auto"/>
          <w:vertAlign w:val="superscript"/>
        </w:rPr>
      </w:pPr>
    </w:p>
    <w:p>
      <w:pPr>
        <w:ind w:left="340" w:hanging="332"/>
        <w:spacing w:after="0" w:line="191" w:lineRule="auto"/>
        <w:tabs>
          <w:tab w:leader="none" w:pos="340" w:val="left"/>
        </w:tabs>
        <w:numPr>
          <w:ilvl w:val="0"/>
          <w:numId w:val="29"/>
        </w:numPr>
        <w:rPr>
          <w:rFonts w:ascii="Arial" w:cs="Arial" w:eastAsia="Arial" w:hAnsi="Arial"/>
          <w:sz w:val="28"/>
          <w:szCs w:val="28"/>
          <w:color w:val="auto"/>
          <w:vertAlign w:val="superscript"/>
        </w:rPr>
      </w:pPr>
      <w:r>
        <w:rPr>
          <w:rFonts w:ascii="Arial" w:cs="Arial" w:eastAsia="Arial" w:hAnsi="Arial"/>
          <w:sz w:val="15"/>
          <w:szCs w:val="15"/>
          <w:color w:val="auto"/>
        </w:rPr>
        <w:t>Gross Mining profit</w:t>
      </w:r>
      <w:r>
        <w:rPr>
          <w:rFonts w:ascii="Arial" w:cs="Arial" w:eastAsia="Arial" w:hAnsi="Arial"/>
          <w:sz w:val="23"/>
          <w:szCs w:val="23"/>
          <w:color w:val="auto"/>
          <w:vertAlign w:val="superscript"/>
        </w:rPr>
        <w:t>2</w:t>
      </w:r>
      <w:r>
        <w:rPr>
          <w:rFonts w:ascii="Arial" w:cs="Arial" w:eastAsia="Arial" w:hAnsi="Arial"/>
          <w:sz w:val="15"/>
          <w:szCs w:val="15"/>
          <w:color w:val="auto"/>
        </w:rPr>
        <w:t xml:space="preserve"> of $12.5 million (38% gross Mining margin</w:t>
      </w:r>
      <w:r>
        <w:rPr>
          <w:rFonts w:ascii="Arial" w:cs="Arial" w:eastAsia="Arial" w:hAnsi="Arial"/>
          <w:sz w:val="23"/>
          <w:szCs w:val="23"/>
          <w:color w:val="auto"/>
          <w:vertAlign w:val="superscript"/>
        </w:rPr>
        <w:t>2</w:t>
      </w:r>
      <w:r>
        <w:rPr>
          <w:rFonts w:ascii="Arial" w:cs="Arial" w:eastAsia="Arial" w:hAnsi="Arial"/>
          <w:sz w:val="15"/>
          <w:szCs w:val="15"/>
          <w:color w:val="auto"/>
        </w:rPr>
        <w:t>); and</w:t>
      </w:r>
    </w:p>
    <w:p>
      <w:pPr>
        <w:ind w:left="340" w:hanging="332"/>
        <w:spacing w:after="0" w:line="195" w:lineRule="auto"/>
        <w:tabs>
          <w:tab w:leader="none" w:pos="340" w:val="left"/>
        </w:tabs>
        <w:numPr>
          <w:ilvl w:val="0"/>
          <w:numId w:val="29"/>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$6.9 million (20% adjusted EBITDA margin</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5" w:lineRule="exact"/>
        <w:rPr>
          <w:sz w:val="20"/>
          <w:szCs w:val="20"/>
          <w:color w:val="auto"/>
        </w:rPr>
      </w:pPr>
    </w:p>
    <w:p>
      <w:pPr>
        <w:ind w:left="340" w:hanging="332"/>
        <w:spacing w:after="0" w:line="182" w:lineRule="auto"/>
        <w:tabs>
          <w:tab w:leader="none" w:pos="34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Earned 1,172 BTC at an average direct cost of $16,900 per BTC</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or an average total cash cost of $22,700 per BTC</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703 BTC valued at approximately $19.0 million as of September 30, 2023;</w:t>
      </w:r>
    </w:p>
    <w:p>
      <w:pPr>
        <w:spacing w:after="0" w:line="1"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Increased hashrate from 5.3 EH/s to 6.1 EH/s through the installation of approximately 10,400 additional Miners; and</w:t>
      </w:r>
    </w:p>
    <w:p>
      <w:pPr>
        <w:spacing w:after="0" w:line="9" w:lineRule="exact"/>
        <w:rPr>
          <w:rFonts w:ascii="Arial" w:cs="Arial" w:eastAsia="Arial" w:hAnsi="Arial"/>
          <w:sz w:val="18"/>
          <w:szCs w:val="18"/>
          <w:i w:val="1"/>
          <w:iCs w:val="1"/>
          <w:color w:val="auto"/>
        </w:rPr>
      </w:pPr>
    </w:p>
    <w:p>
      <w:pPr>
        <w:ind w:left="340" w:hanging="332"/>
        <w:spacing w:after="0" w:line="26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Sold 1,018 BTC at an average price of $27,900 per BTC for total proceeds of $28.4 million, a portion of which was used to repay equipment-related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Expansions</w:t>
      </w:r>
    </w:p>
    <w:p>
      <w:pPr>
        <w:spacing w:after="0" w:line="27" w:lineRule="exact"/>
        <w:rPr>
          <w:sz w:val="20"/>
          <w:szCs w:val="20"/>
          <w:color w:val="auto"/>
        </w:rPr>
      </w:pPr>
    </w:p>
    <w:p>
      <w:pPr>
        <w:ind w:left="340" w:hanging="332"/>
        <w:spacing w:after="0" w:line="26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Fully utilized remaining Miner manufacturer credits of $19.1 million for the purchase of nine MicroBT hydro containers, with a total capacity of 20 MW, and approximately 2,000 MicroBT M53S+ hydro Miners to be deployed in Paraguay and Quebec.</w:t>
      </w:r>
    </w:p>
    <w:p>
      <w:pPr>
        <w:spacing w:after="0" w:line="185" w:lineRule="exact"/>
        <w:rPr>
          <w:sz w:val="20"/>
          <w:szCs w:val="20"/>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Imported and installed approximately 1,300 new M50 Whatsminer Miners, 700 new S19j Pro Antminer Miners and 5,500 new S19j Pro+ Antminer Miners, which increased capacity to 51 MW and added approximately 0.8 EH/s to the Rio Cuarto facility, bringing its total hashrate to approximately 1.5 EH/s.</w:t>
      </w:r>
    </w:p>
    <w:p>
      <w:pPr>
        <w:spacing w:after="0" w:line="18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Acquired 22 MW of hydro power capacity and leased a site in Baie-Comeau, Quebec and operated 5 MW at the end of September 2023;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Installed approximately 2,500 Miners in Baie-Comeau, Quebec that were redeployed from Magog, Quebec;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Imported and installed approximately 2,900 new Antminer S19j Pro+ Miners in Magog, Quebec, which added a net 110 PH/s after replacing the older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generation Miners, and bringing its total hashrate to approximately 330 PH/s.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Paraguay</w:t>
      </w:r>
    </w:p>
    <w:p>
      <w:pPr>
        <w:spacing w:after="0" w:line="9" w:lineRule="exact"/>
        <w:rPr>
          <w:sz w:val="20"/>
          <w:szCs w:val="20"/>
          <w:color w:val="auto"/>
        </w:rPr>
      </w:pPr>
    </w:p>
    <w:p>
      <w:pPr>
        <w:ind w:left="340" w:hanging="332"/>
        <w:spacing w:after="0" w:line="26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Acquired two power purchase agreements for up to 50 MW and 100 MW of hydro power capacity in Paso Pe and Yguazu, respectively, and started construction of the Paso Pe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Paid down $5.7 million in equipment-related indebtedness, reducing the total outstanding balance to $9.9 million as of September 30, 2023; and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Raised $30.9 million in net proceeds through the Company’s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29"/>
          <w:szCs w:val="29"/>
          <w:color w:val="auto"/>
          <w:vertAlign w:val="superscript"/>
        </w:rPr>
      </w:pPr>
      <w:r>
        <w:rPr>
          <w:rFonts w:ascii="Arial" w:cs="Arial" w:eastAsia="Arial" w:hAnsi="Arial"/>
          <w:sz w:val="17"/>
          <w:szCs w:val="17"/>
          <w:color w:val="auto"/>
        </w:rPr>
        <w:t xml:space="preserve">Gross margin and Operating margin are supplemental financial ratios; refer to section 9 - </w:t>
      </w:r>
      <w:r>
        <w:rPr>
          <w:rFonts w:ascii="Arial" w:cs="Arial" w:eastAsia="Arial" w:hAnsi="Arial"/>
          <w:sz w:val="17"/>
          <w:szCs w:val="17"/>
          <w:i w:val="1"/>
          <w:iCs w:val="1"/>
          <w:color w:val="auto"/>
        </w:rPr>
        <w:t>Non-IFRS and Other Financial Measures and Ratios</w:t>
      </w:r>
      <w:r>
        <w:rPr>
          <w:rFonts w:ascii="Arial" w:cs="Arial" w:eastAsia="Arial" w:hAnsi="Arial"/>
          <w:sz w:val="17"/>
          <w:szCs w:val="17"/>
          <w:color w:val="auto"/>
        </w:rPr>
        <w:t>.</w:t>
      </w:r>
    </w:p>
    <w:p>
      <w:pPr>
        <w:spacing w:after="0" w:line="1" w:lineRule="exact"/>
        <w:rPr>
          <w:sz w:val="20"/>
          <w:szCs w:val="20"/>
          <w:color w:val="auto"/>
        </w:rPr>
      </w:pPr>
    </w:p>
    <w:p>
      <w:pPr>
        <w:ind w:left="200" w:hanging="192"/>
        <w:spacing w:after="0" w:line="187" w:lineRule="auto"/>
        <w:tabs>
          <w:tab w:leader="none" w:pos="20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 xml:space="preserve">Gross Mining profit, Gross Mining margin, Adjusted EBITDA, Adjusted EBITDA margin, Direct Cost per BTC and Total Cash Cost per BTC are non-IFRS measures or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6  Page</w:t>
      </w:r>
    </w:p>
    <w:p>
      <w:pPr>
        <w:sectPr>
          <w:pgSz w:w="11900" w:h="16838" w:orient="portrait"/>
          <w:cols w:equalWidth="0" w:num="1">
            <w:col w:w="11240"/>
          </w:cols>
          <w:pgMar w:left="320" w:top="229" w:right="339"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7420" w:firstLine="8"/>
        <w:spacing w:after="0" w:line="508" w:lineRule="auto"/>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AND MINING OPERATIONS Key Performance Indicators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Three months ended September 30,</w:t>
            </w:r>
          </w:p>
        </w:tc>
        <w:tc>
          <w:tcPr>
            <w:tcW w:w="37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3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 Change</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BTC earned</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1,172</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1,515</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3,692</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Average Watts/Average TH efficiency*</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36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36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BTC sold</w:t>
            </w:r>
          </w:p>
        </w:tc>
        <w:tc>
          <w:tcPr>
            <w:tcW w:w="1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1,018</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2,595</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3,394</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5,970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Average Watts represents the energy consumption of Miners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2023 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Q3 2022</w:t>
      </w:r>
    </w:p>
    <w:p>
      <w:pPr>
        <w:spacing w:after="0" w:line="27" w:lineRule="exact"/>
        <w:rPr>
          <w:sz w:val="20"/>
          <w:szCs w:val="20"/>
          <w:color w:val="auto"/>
        </w:rPr>
      </w:pPr>
    </w:p>
    <w:p>
      <w:pPr>
        <w:ind w:left="660" w:hanging="328"/>
        <w:spacing w:after="0" w:line="265"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1,172 BTC earned in Q3 2023, compared to 1,515 BTC earned in Q3 2022, representing a decrease of 23% as a result of an 82% increase in average network difficulty, partially offset by an increase in hashrate from the Company’s expansions and the upgrade of its Miner fleet;</w:t>
      </w: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36 Watts/TH efficiency in Q3 2023, compared to 38 Watts/TH efficiency in Q3 2022, representing an improvement of 5% due to the Company upgrading its fleet with more efficient Miners; and</w:t>
      </w:r>
    </w:p>
    <w:p>
      <w:pPr>
        <w:jc w:val="both"/>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1,018 BTC sold in Q3 2023, compared to 2,595 BTC in Q3 2022. In Q3 2023, the proceeds were used in part to fund operations and repay equipment financing indebtedness, whereas in Q3 2022, the proceeds were mainly used to repay part of the BTC backed credit facility for $15.0 million, fund operations and to manage liquidity.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3" w:lineRule="exact"/>
        <w:rPr>
          <w:sz w:val="20"/>
          <w:szCs w:val="20"/>
          <w:color w:val="auto"/>
        </w:rPr>
      </w:pPr>
    </w:p>
    <w:p>
      <w:pPr>
        <w:ind w:left="660" w:right="2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3,692 BTC earned during YTD Q3 2023, compared to 3,733 BTC earned during YTD Q3 2022, representing a decrease of only 1% from the previous year;</w:t>
      </w: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36 Watts/TH efficiency during YTD Q3 2023, compared to 39 Watts/TH efficiency during YTD Q3 2022, an improvement of 8% due to the Company upgrading its fleet with more efficient Miners; and</w:t>
      </w:r>
    </w:p>
    <w:p>
      <w:pPr>
        <w:ind w:left="660" w:right="20" w:hanging="328"/>
        <w:spacing w:after="0" w:line="26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3,394 BTC sold in YTD Q3 2023, compared to 5,970 BTC in YTD Q3 2022. The proceeds were used for the same purposes as those explained in the Q3 2023 v. Q3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7  Page</w:t>
      </w:r>
    </w:p>
    <w:p>
      <w:pPr>
        <w:sectPr>
          <w:pgSz w:w="11900" w:h="16838" w:orient="portrait"/>
          <w:cols w:equalWidth="0" w:num="1">
            <w:col w:w="11240"/>
          </w:cols>
          <w:pgMar w:left="320" w:top="229" w:right="339"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PRODUCTION AND MINING OPERATIONS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Performance Indicators </w:t>
      </w: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As of September 30,</w:t>
            </w:r>
          </w:p>
        </w:tc>
        <w:tc>
          <w:tcPr>
            <w:tcW w:w="116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Period-end operating EH/s</w:t>
            </w:r>
          </w:p>
        </w:tc>
        <w:tc>
          <w:tcPr>
            <w:tcW w:w="28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6.1</w:t>
            </w: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Period-end operating capacity (MW)</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234</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176</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Hydro power (MW)</w:t>
            </w:r>
          </w:p>
        </w:tc>
        <w:tc>
          <w:tcPr>
            <w:tcW w:w="28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183</w:t>
            </w: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Hydro power proportion of period-end operating capacity</w:t>
            </w:r>
          </w:p>
        </w:tc>
        <w:tc>
          <w:tcPr>
            <w:tcW w:w="2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78%</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of September 30, 2023 v. as of September 30, 2022</w:t>
      </w:r>
    </w:p>
    <w:p>
      <w:pPr>
        <w:spacing w:after="0" w:line="23" w:lineRule="exact"/>
        <w:rPr>
          <w:sz w:val="20"/>
          <w:szCs w:val="20"/>
          <w:color w:val="auto"/>
        </w:rPr>
      </w:pPr>
    </w:p>
    <w:p>
      <w:pPr>
        <w:ind w:left="660" w:hanging="328"/>
        <w:spacing w:after="0" w:line="281"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6.1 EH/s online as of September 30, 2023, compared to 4.2 EH/s online as of September 30, 2022, an increase of 45%, as a result of the Company’s expansions in Sherbrooke (Quebec), Baie-Comeau (Quebec) and Rio Cuarto (Argentina) as well as the upgrade of its Miner fleet;</w:t>
      </w:r>
    </w:p>
    <w:p>
      <w:pPr>
        <w:spacing w:after="0" w:line="1" w:lineRule="exact"/>
        <w:rPr>
          <w:rFonts w:ascii="Arial" w:cs="Arial" w:eastAsia="Arial" w:hAnsi="Arial"/>
          <w:sz w:val="16"/>
          <w:szCs w:val="16"/>
          <w:i w:val="1"/>
          <w:iCs w:val="1"/>
          <w:color w:val="auto"/>
        </w:rPr>
      </w:pPr>
    </w:p>
    <w:p>
      <w:pPr>
        <w:jc w:val="both"/>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234 MW operating capacity as of September 30, 2023, compared to 176 MW operating capacity as of September 30, 2022, an increase of 33%, as a result of expansion in Sherbrooke mainly related to phase three of the Bunker that was completed in November 2022 (resulting in an additional 12 MW), the installation of approximately 12,600 Miners in Rio Cuarto, Argentina in Q2 and Q3 2023 (resulting in an aggregate 41 MW) and the expansion in Baie-Comeau (resulting in an additional 5 MW);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183 MW hydro power as of September 30, 2023, compared to 166 MW hydro power as of September 30, 2022, an increase of 10% as a result of the Company’s expansion in Sherbrooke mainly related to phase three of the Bunker, and representing 78% of the Company’s total operating energy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8  Page</w:t>
      </w:r>
    </w:p>
    <w:p>
      <w:pPr>
        <w:sectPr>
          <w:pgSz w:w="11900" w:h="16838" w:orient="portrait"/>
          <w:cols w:equalWidth="0" w:num="1">
            <w:col w:w="11240"/>
          </w:cols>
          <w:pgMar w:left="320" w:top="229" w:right="339"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EXPANSION PROJECTS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described its expansion plans below under the sections entitled “Argentina Expansion”, “Paraguay Expansion”, “Washington Expansion” and “Baie-Comeau Expansion”. These expansion projects only include updates for 2023. For background or historical information on these expansions, refer to the Company’s MD&amp;A for the year ended December 31, 2022, dated March 20, 2023.</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 Company operated 6.1 EH/s, achieving its Q3 2023 target of 6.3 EH/s in October 2023, due to some electrical infrastructure vendor delays that pushed back the Baie-Comeau, Quebec facility’s full installation by a few weeks. The Company’s ending hashrate target for March 31, 2024, including the current partial deployment in Paraguay, is set at 7.0 EH/s. The Company continues to evaluate opportunities that will expand its infrastructure and Mining hardware to increase the Company’s hashrate, provided such opportunities are accretive based on current macro factors and specific performance.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estimated costs and timelines to achieve these expansion plans may change based on, among other factors, the prevailing price of BTC, network difficulty, supply and cost of cryptocurrency Mining equipment, the ability to import equipment into countries in a cost-effective manner, the supply of electrical and other supporting infrastructure equipment, the availability of construction materials, currency exchange rates, the impact of geopolitical events or global health related issues such as pandemics on the supply chains described above, and the Company’s ability to fund its initiatives. The Company’s expansion plans rely on a consistent supply of electricity at cost-effective rates; refer to Section 18 -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w:t>
      </w:r>
      <w:r>
        <w:rPr>
          <w:rFonts w:ascii="Arial" w:cs="Arial" w:eastAsia="Arial" w:hAnsi="Arial"/>
          <w:sz w:val="18"/>
          <w:szCs w:val="18"/>
          <w:i w:val="1"/>
          <w:iCs w:val="1"/>
          <w:color w:val="auto"/>
        </w:rPr>
        <w:t>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Dependence on Regulated Terms of Service and Electricity Rates Risks) </w:t>
      </w:r>
      <w:r>
        <w:rPr>
          <w:rFonts w:ascii="Arial" w:cs="Arial" w:eastAsia="Arial" w:hAnsi="Arial"/>
          <w:sz w:val="18"/>
          <w:szCs w:val="18"/>
          <w:color w:val="auto"/>
        </w:rPr>
        <w:t>of the Company’s MD&amp;A for the year ended December 31, 2022, dated March 20,</w:t>
      </w:r>
      <w:r>
        <w:rPr>
          <w:rFonts w:ascii="Arial" w:cs="Arial" w:eastAsia="Arial" w:hAnsi="Arial"/>
          <w:sz w:val="18"/>
          <w:szCs w:val="18"/>
          <w:i w:val="1"/>
          <w:iCs w:val="1"/>
          <w:color w:val="auto"/>
        </w:rPr>
        <w:t xml:space="preserve"> </w:t>
      </w:r>
      <w:r>
        <w:rPr>
          <w:rFonts w:ascii="Arial" w:cs="Arial" w:eastAsia="Arial" w:hAnsi="Arial"/>
          <w:sz w:val="18"/>
          <w:szCs w:val="18"/>
          <w:color w:val="auto"/>
        </w:rPr>
        <w:t>2023 for further details, including a description of these and other factors.</w:t>
      </w:r>
    </w:p>
    <w:p>
      <w:pPr>
        <w:spacing w:after="0" w:line="19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Argentina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In February 2023, Management elected to postpone the development of additional infrastructure in Argentina until (i) the increased power permit is obtained by the private Argentinian power producer, (ii) the importation limitations are resolved and (iii) natural gas prices stabilize at an acceptable level.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in anticipation of the power permit approval, the Company, using credits and cash, purchased over 6,200 new Bitmain and MicroBT Miners to fill out an additional 22 MW in the Argentinian facility. These new Miners, when fully installed as expected in the third quarter of 2023, were projected to improve the overall w/TH efficiency and generate a total 1.3 EH/s at the Argentina facility.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2023, the Company confirmed the receipt of the necessary power permits by the private Argentinian power producer to expand production at its Argentina facility. The Company completed testing of its Rio Cuarto substation, which is now online.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began to draw power from the private power producer and installed 2,100 new Miners that were delivered in March and April 2023. Energizing these miners and ending underclocking of previously installed miners in line with improved economics increased the active capacity to 18 MW and the Company’s operational hashrate to over 5.0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9  Page</w:t>
      </w:r>
    </w:p>
    <w:p>
      <w:pPr>
        <w:sectPr>
          <w:pgSz w:w="11900" w:h="16838" w:orient="portrait"/>
          <w:cols w:equalWidth="0" w:num="1">
            <w:col w:w="11240"/>
          </w:cols>
          <w:pgMar w:left="320" w:top="229" w:right="339"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Argentina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2023 update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Drawing power from the private Argentinian power producer enabled the Company to commence purchasing low-cost power under its purchase agreement at approximately $0.03 per kWh, before VAT, on an annualized basis, or possibly less as the Company reaches full capacity at the facility. The Company expects the cost of BTC earned at this farm to decrease substantially as it actively scales up operations at the facility.</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1,650 new high efficiency BTC Miners were purchased for Argentina at an average direct cost of $12.98/TH, in addition to the 6,200 Miners purchased in April 2023. In addition, 2,900 MicroBT Miners were delivered, installed and energized, contributing an additional 290 PH/s and driving the Company’s operational hashrate to 5.3 EH/s as of June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and September 2023, approximately 1,300 new M50 Whatsminer miners, 700 new S19j Pro Antminer Miners and 5,500 new S19j Pro+ Antminer Miners were imported and installed, increasing the warehouse’s capacity to 51 MW and operational hashrate to 1.5 EH/s.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retains the option, subject to the receipt of additional government approvals, to build out other facilities in Argentina to the full contracted amount of 210 MW. Due to changing economic, financial and political conditions in Argentina, the Company is not yet in a position to determine when or if construction of additional infrastructure in Argentina will commence.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as of September 30, 2023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2023, the Company had placed deposits of $4.5 million with suppliers for existing and additional construction work. Overall, in Argentina, the Company has also acquired $62.5 million of property, plant and equipment, incurred $0.3 million of expenditures relating to design and feasibility studies and recorded cumulative gains on the disposition of marketable securities of $69.0 million associated with the mechanism to convert funds into Argentine Pesos for disbursements.</w:t>
      </w:r>
    </w:p>
    <w:p>
      <w:pPr>
        <w:spacing w:after="0" w:line="18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Paraguay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sold the older generation Miners to a third party for approximately $0.2 million.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Yguazu, a new location close to the Itaipu dam, the third largest hydro-electric dam in the world. The new facility in Villarrica is referred to as the Paso Pe facility. At Yguazu,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10  Page</w:t>
      </w:r>
    </w:p>
    <w:p>
      <w:pPr>
        <w:sectPr>
          <w:pgSz w:w="11900" w:h="16838" w:orient="portrait"/>
          <w:cols w:equalWidth="0" w:num="1">
            <w:col w:w="11240"/>
          </w:cols>
          <w:pgMar w:left="320" w:top="229" w:right="339"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Paraguay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Paso Pe facility</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August 2023, the Company placed orders using vendor credits for eight 2.4 MW hydro containers and approximately 1,900 hydro-cooling Miners capable of producing approximately 675 PH/s once installed.</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September 2023, construction commenced as planned at the Paso Pe facility, beginning with an 80 MW substation, followed by building-out a Mining facility consisting of 30 MW of air-cooled warehouses and the 20 MW of hydro containers, expected to be completed during the first quarter of 2024.</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cost of developing the 30 MW of air-cooled warehouse, constructing an 80 MW substation capable of accommodating the current 50 MW requirement with capacity for expansion, and the installation of the high voltage lines, is estimated to range from $16.0 million to $19.0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as of September 30, 2023</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September 30, 2023, the Company had placed deposits of $2.0 million and $1.5 million with suppliers for construction costs and for electrical components,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Paraguayan laws regulating crypto-assets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18, 2022, the Paraguayan Congress approved a bill regulating the Mining, trading, intermediation, exchange, transfer, custody and administration of crypto-assets and instruments. The proposed legislation by the Paraguayan Congress aimed to create an attractive regulatory environment within the country through the establishment of a straightforward licensing regime with clear requirements for operating crypto-assets activities in the country. On August 30, 2022, the proposed law was vetoed by the Paraguayan president and returned to the Paraguayan Congress to be modified and potentially resubmitted.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unknown if and when a new law will be approved. The absence of specific law in Paraguay regarding crypto assets has not materially impacted the Company’s current operations in the country. National elections took place on April 30, 2023, and the country’s new president, from the same political party as his predecessor, was inaugurated on August 15, 2023.</w:t>
      </w:r>
    </w:p>
    <w:p>
      <w:pPr>
        <w:spacing w:after="0" w:line="18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Washington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2023, the Company received approval from the power supplier for 6 MW that is estimated to be energized in the first quarter of 2024. The Company began constructing another facility on Company-owned land in June 2023 with an estimated cost of $2.1 million, including $0.9 million paid in Q2 2023 to the power supplier for establishing the connection.</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2023, the Company de-energized its 2 MW immersion cooling pilot project as the equipment did not perform to the Company’s expectations of performance and costs. The 2 MW of hydro-electricity remains available to the Company to use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 upgraded ventilation and cooling systems, increasing average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11  Page</w:t>
      </w:r>
    </w:p>
    <w:p>
      <w:pPr>
        <w:sectPr>
          <w:pgSz w:w="11900" w:h="16838" w:orient="portrait"/>
          <w:cols w:equalWidth="0" w:num="1">
            <w:col w:w="11240"/>
          </w:cols>
          <w:pgMar w:left="320" w:top="229" w:right="339"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Baie-Comeau (Canada)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2023, the Company entered into agreements to acquire shares of a Company that owns the right to consume 22 MW of hydro power capacity in Baie-Comeau, Quebec, and to lease a site to install the infrastructure to operate the acquired capacity. The 22 MW facility could add over 600 PH/s when in full production. The Baie-Comeau area is home to five hydro-electricity generation facilities with over 5.4 gigawatts of nameplate capacity. Adding reliable hydro power is part of the Company’s strategy to cost-effectively expand its operating footprint.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2023, the Company completed the acquisition. The consideration transferred at closing totaled $2.0 million (CAD$2.6 million), of which $0.6 million (CAD$0.8 million) was paid in cash and $1.4 million (CAD$1.8 million) was paid through the issuance of 821,000 common shares of the Company. The lease agreement is for an industrial site in Baie-Comeau for an initial term of 10 years and provides the Company with the option to purchase the site for $2.2 million (CAD $3.0 million) with an annual adjustment at the lesser of (i) the change in the Consumer Price Index and (ii) 3% throughout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and 2024 plan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Following the closing of the acquisition, the Company immediately commenced production at Baie-Comeau with an initial 3 MW online. In connection with the acquisition, the Company increased its total hashrate target to 6.3 EH/s, which was achieved on October 20, 2023.</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plans to minimize development-related and build-out expenditures by relocating miners from other facilities to Baie-Comeau and by applying infrastructure equipment repurposed from the December 2022 sale of the former De La Pointe facility. In June and August 2023, approximately 2,500 Whatsminer M31S+ miners were redeployed from Magog and installed at the Baie-Comeau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fully energized the 11 MW facility on October 20, 2023 and is planning to commission the remaining 11 MW during the second half of 2024 after local grid infrastructure improvements have been completed. The cost of electrical infrastructure and leasehold improvements for the first 11 MW of the facility totaled $2.8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plans to continue to lease the property and complete the physical improvements for the second 11 MW by the third quarter of 2024. The Company expects the total cost to be approximately $9.2 million, including $3.9 million for the leasehold improvements, which will involve the construction of a new building and $2.5 million for the electrical infrastructure.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 Company has $4.0 million of property, plant and equipment relating to the Baie-Comeau facility, including infrastructure equipment that was repurposed from other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12  Page</w:t>
      </w:r>
    </w:p>
    <w:p>
      <w:pPr>
        <w:sectPr>
          <w:pgSz w:w="11900" w:h="16838" w:orient="portrait"/>
          <w:cols w:equalWidth="0" w:num="1">
            <w:col w:w="11240"/>
          </w:cols>
          <w:pgMar w:left="320" w:top="229" w:right="339"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7680" w:firstLine="8"/>
        <w:spacing w:after="0" w:line="563" w:lineRule="auto"/>
        <w:tabs>
          <w:tab w:leader="none" w:pos="1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PERFORMANCE Consolidated Financial &amp; Operational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Three months ended September 30,</w:t>
            </w:r>
          </w:p>
        </w:tc>
        <w:tc>
          <w:tcPr>
            <w:tcW w:w="3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line="195" w:lineRule="exact"/>
              <w:rPr>
                <w:sz w:val="20"/>
                <w:szCs w:val="20"/>
                <w:color w:val="auto"/>
              </w:rPr>
            </w:pPr>
            <w:r>
              <w:rPr>
                <w:rFonts w:ascii="Arial" w:cs="Arial" w:eastAsia="Arial" w:hAnsi="Arial"/>
                <w:sz w:val="18"/>
                <w:szCs w:val="18"/>
                <w:color w:val="auto"/>
                <w:w w:val="92"/>
              </w:rPr>
              <w:t>(U.S.$ in thousands except</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 Change</w:t>
            </w:r>
          </w:p>
        </w:tc>
        <w:tc>
          <w:tcPr>
            <w:tcW w:w="1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34,596</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33,247</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1,349</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100,125</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115,391</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(15,266)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43,462</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37,186</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6,276</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123,384</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92,789</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30,595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(8,866)</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(3,939)</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(23,259)</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22,602</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(45,861)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(26)%</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(23)%</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w:t>
            </w:r>
          </w:p>
        </w:tc>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3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8,372</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25,887</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3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10,299</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20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39,534</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20" w:type="dxa"/>
            <w:vAlign w:val="bottom"/>
          </w:tcPr>
          <w:p>
            <w:pPr>
              <w:ind w:left="180"/>
              <w:spacing w:after="0" w:line="201" w:lineRule="exact"/>
              <w:rPr>
                <w:sz w:val="20"/>
                <w:szCs w:val="20"/>
                <w:color w:val="auto"/>
              </w:rPr>
            </w:pPr>
            <w:r>
              <w:rPr>
                <w:rFonts w:ascii="Arial" w:cs="Arial" w:eastAsia="Arial" w:hAnsi="Arial"/>
                <w:sz w:val="18"/>
                <w:szCs w:val="18"/>
                <w:color w:val="auto"/>
              </w:rPr>
              <w:t>Realized loss on</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340"/>
              <w:spacing w:after="0"/>
              <w:rPr>
                <w:sz w:val="20"/>
                <w:szCs w:val="20"/>
                <w:color w:val="auto"/>
              </w:rPr>
            </w:pPr>
            <w:r>
              <w:rPr>
                <w:rFonts w:ascii="Arial" w:cs="Arial" w:eastAsia="Arial" w:hAnsi="Arial"/>
                <w:sz w:val="18"/>
                <w:szCs w:val="18"/>
                <w:color w:val="auto"/>
              </w:rPr>
              <w:t>disposition of digital</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340"/>
              <w:spacing w:after="0"/>
              <w:rPr>
                <w:sz w:val="20"/>
                <w:szCs w:val="20"/>
                <w:color w:val="auto"/>
              </w:rPr>
            </w:pPr>
            <w:r>
              <w:rPr>
                <w:rFonts w:ascii="Arial" w:cs="Arial" w:eastAsia="Arial" w:hAnsi="Arial"/>
                <w:sz w:val="18"/>
                <w:szCs w:val="18"/>
                <w:color w:val="auto"/>
              </w:rPr>
              <w:t>assets</w:t>
            </w:r>
          </w:p>
        </w:tc>
        <w:tc>
          <w:tcPr>
            <w:tcW w:w="1340" w:type="dxa"/>
            <w:vAlign w:val="bottom"/>
            <w:vMerge w:val="continue"/>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44,329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(44,329)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200" w:type="dxa"/>
            <w:vAlign w:val="bottom"/>
            <w:vMerge w:val="continue"/>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122,243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(122,243)</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(Reversal of) revaluation</w:t>
            </w:r>
          </w:p>
        </w:tc>
        <w:tc>
          <w:tcPr>
            <w:tcW w:w="13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1,183</w:t>
            </w: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(1,512)</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loss on digital assets</w:t>
            </w:r>
          </w:p>
        </w:tc>
        <w:tc>
          <w:tcPr>
            <w:tcW w:w="13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(45,655)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46,838</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w:t>
            </w:r>
          </w:p>
        </w:tc>
        <w:tc>
          <w:tcPr>
            <w:tcW w:w="120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21,118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020" w:type="dxa"/>
            <w:vAlign w:val="bottom"/>
          </w:tcPr>
          <w:p>
            <w:pPr>
              <w:ind w:left="180"/>
              <w:spacing w:after="0" w:line="201" w:lineRule="exact"/>
              <w:rPr>
                <w:sz w:val="20"/>
                <w:szCs w:val="20"/>
                <w:color w:val="auto"/>
              </w:rPr>
            </w:pPr>
            <w:r>
              <w:rPr>
                <w:rFonts w:ascii="Arial" w:cs="Arial" w:eastAsia="Arial" w:hAnsi="Arial"/>
                <w:sz w:val="18"/>
                <w:szCs w:val="18"/>
                <w:color w:val="auto"/>
              </w:rPr>
              <w:t>Loss on disposition of</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340"/>
              <w:spacing w:after="0"/>
              <w:rPr>
                <w:sz w:val="20"/>
                <w:szCs w:val="20"/>
                <w:color w:val="auto"/>
              </w:rPr>
            </w:pPr>
            <w:r>
              <w:rPr>
                <w:rFonts w:ascii="Arial" w:cs="Arial" w:eastAsia="Arial" w:hAnsi="Arial"/>
                <w:sz w:val="18"/>
                <w:szCs w:val="18"/>
                <w:color w:val="auto"/>
              </w:rPr>
              <w:t>property, plant and</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217</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1,776</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1340" w:type="dxa"/>
            <w:vAlign w:val="bottom"/>
            <w:vMerge w:val="continue"/>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756</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200" w:type="dxa"/>
            <w:vAlign w:val="bottom"/>
            <w:vMerge w:val="continue"/>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1,692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on short-</w:t>
            </w:r>
          </w:p>
        </w:tc>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term prepaid deposits,</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and</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prepayments, property,</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plant and equipment</w:t>
            </w:r>
          </w:p>
        </w:tc>
        <w:tc>
          <w:tcPr>
            <w:tcW w:w="13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9,982</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and right-of-use assets</w:t>
            </w:r>
          </w:p>
        </w:tc>
        <w:tc>
          <w:tcPr>
            <w:tcW w:w="13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84,116</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(84,116)</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20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84,116</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(74,134)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Impairment on goodwill</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17,900</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(18,638)</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(97,784)</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79,146</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(59,392)</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(264,001)</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204,609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(54)%</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(59)%</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(336)</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(8,251)</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7,915</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(12,706)</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(24,191)</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11,485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loss before income</w:t>
            </w:r>
          </w:p>
        </w:tc>
        <w:tc>
          <w:tcPr>
            <w:tcW w:w="1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taxes</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(18,302)</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(89,533)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71,231</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(46,686)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(239,810)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193,124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5"/>
        </w:trPr>
        <w:tc>
          <w:tcPr>
            <w:tcW w:w="2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tax expense</w:t>
            </w:r>
          </w:p>
        </w:tc>
        <w:tc>
          <w:tcPr>
            <w:tcW w:w="1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(23)</w:t>
            </w: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(recovery)</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401</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(4,725)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5,126</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108%</w:t>
            </w: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(17,603)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17,580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(18,703)</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(84,808)</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66,105</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(46,663)</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(222,207)</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175,544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20" w:type="dxa"/>
            <w:vAlign w:val="bottom"/>
          </w:tcPr>
          <w:p>
            <w:pPr>
              <w:spacing w:after="0" w:line="201" w:lineRule="exact"/>
              <w:rPr>
                <w:sz w:val="20"/>
                <w:szCs w:val="20"/>
                <w:color w:val="auto"/>
              </w:rPr>
            </w:pPr>
            <w:r>
              <w:rPr>
                <w:rFonts w:ascii="Arial" w:cs="Arial" w:eastAsia="Arial" w:hAnsi="Arial"/>
                <w:sz w:val="18"/>
                <w:szCs w:val="18"/>
                <w:color w:val="auto"/>
                <w:w w:val="97"/>
              </w:rPr>
              <w:t>Basic and diluted loss per</w:t>
            </w:r>
          </w:p>
        </w:tc>
        <w:tc>
          <w:tcPr>
            <w:tcW w:w="13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(0.07)</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(0.19)</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share (in U.S. dollars)</w:t>
            </w:r>
          </w:p>
        </w:tc>
        <w:tc>
          <w:tcPr>
            <w:tcW w:w="13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(0.40)</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(1.09)</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Change in revaluation</w:t>
            </w:r>
          </w:p>
        </w:tc>
        <w:tc>
          <w:tcPr>
            <w:tcW w:w="1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surplus - digital assets,</w:t>
            </w:r>
          </w:p>
        </w:tc>
        <w:tc>
          <w:tcPr>
            <w:tcW w:w="13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(824)</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1,567</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1,567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1"/>
        </w:trPr>
        <w:tc>
          <w:tcPr>
            <w:tcW w:w="2020" w:type="dxa"/>
            <w:vAlign w:val="bottom"/>
          </w:tcPr>
          <w:p>
            <w:pPr>
              <w:spacing w:after="0" w:line="191" w:lineRule="exact"/>
              <w:rPr>
                <w:sz w:val="20"/>
                <w:szCs w:val="20"/>
                <w:color w:val="auto"/>
              </w:rPr>
            </w:pPr>
            <w:r>
              <w:rPr>
                <w:rFonts w:ascii="Arial" w:cs="Arial" w:eastAsia="Arial" w:hAnsi="Arial"/>
                <w:sz w:val="18"/>
                <w:szCs w:val="18"/>
                <w:b w:val="1"/>
                <w:bCs w:val="1"/>
                <w:color w:val="auto"/>
                <w:w w:val="88"/>
              </w:rPr>
              <w:t>Total comprehensive loss,</w:t>
            </w: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 of tax</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(19,527)</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(84,808)</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65,281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(45,096)</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(222,207)</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177,111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6"/>
        </w:trPr>
        <w:tc>
          <w:tcPr>
            <w:tcW w:w="2020" w:type="dxa"/>
            <w:vAlign w:val="bottom"/>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(2)</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12,505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16,789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(4,284)</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39,017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74,089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(35,072)</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6"/>
        </w:trPr>
        <w:tc>
          <w:tcPr>
            <w:tcW w:w="2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20" w:type="dxa"/>
            <w:vAlign w:val="bottom"/>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(2)</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4,280</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(65,419)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69,699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19,767</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(177,217)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196,984</w:t>
            </w: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6"/>
        </w:trPr>
        <w:tc>
          <w:tcPr>
            <w:tcW w:w="2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(2)</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2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6,866</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10,325</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21,107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52,326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(31,219)</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Adjusted EBITDA margin</w:t>
            </w:r>
          </w:p>
        </w:tc>
        <w:tc>
          <w:tcPr>
            <w:tcW w:w="1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0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1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1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(2)</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29"/>
          <w:szCs w:val="29"/>
          <w:color w:val="auto"/>
          <w:vertAlign w:val="superscript"/>
        </w:rPr>
      </w:pPr>
      <w:r>
        <w:rPr>
          <w:rFonts w:ascii="Arial" w:cs="Arial" w:eastAsia="Arial" w:hAnsi="Arial"/>
          <w:sz w:val="17"/>
          <w:szCs w:val="17"/>
          <w:color w:val="auto"/>
        </w:rPr>
        <w:t xml:space="preserve">Gross margin and Operating margin are supplemental financial ratios; refer to section 9 - </w:t>
      </w:r>
      <w:r>
        <w:rPr>
          <w:rFonts w:ascii="Arial" w:cs="Arial" w:eastAsia="Arial" w:hAnsi="Arial"/>
          <w:sz w:val="17"/>
          <w:szCs w:val="17"/>
          <w:i w:val="1"/>
          <w:iCs w:val="1"/>
          <w:color w:val="auto"/>
        </w:rPr>
        <w:t>Non-IFRS and Other Financial Measures and Ratios</w:t>
      </w:r>
      <w:r>
        <w:rPr>
          <w:rFonts w:ascii="Arial" w:cs="Arial" w:eastAsia="Arial" w:hAnsi="Arial"/>
          <w:sz w:val="17"/>
          <w:szCs w:val="17"/>
          <w:color w:val="auto"/>
        </w:rPr>
        <w:t>.</w:t>
      </w:r>
    </w:p>
    <w:p>
      <w:pPr>
        <w:spacing w:after="0" w:line="1" w:lineRule="exact"/>
        <w:rPr>
          <w:sz w:val="20"/>
          <w:szCs w:val="20"/>
          <w:color w:val="auto"/>
        </w:rPr>
      </w:pPr>
    </w:p>
    <w:p>
      <w:pPr>
        <w:ind w:left="200" w:right="280" w:hanging="192"/>
        <w:spacing w:after="0" w:line="187" w:lineRule="auto"/>
        <w:tabs>
          <w:tab w:leader="none" w:pos="20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 xml:space="preserve">Gross Mining profit, Gross Mining margin, EBITDA, EBITDA margin, Adjusted EBITDA and Adjusted EBITDA margin are non-IFRS measures or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13  Page</w:t>
      </w:r>
    </w:p>
    <w:p>
      <w:pPr>
        <w:sectPr>
          <w:pgSz w:w="11900" w:h="16838" w:orient="portrait"/>
          <w:cols w:equalWidth="0" w:num="1">
            <w:col w:w="11240"/>
          </w:cols>
          <w:pgMar w:left="320" w:top="229" w:right="339" w:bottom="1051" w:gutter="0" w:footer="0" w:header="0"/>
        </w:sectPr>
      </w:pPr>
    </w:p>
    <w:bookmarkStart w:id="48" w:name="page49"/>
    <w:bookmarkEnd w:id="48"/>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2023 v. Q3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were $34.6 million in Q3 2023, compared to $33.2 million in Q3 2022, an increase of $1.3 million, or 4%.</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increase in Bitfarms’ revenues in Q3 2023, compared to Q3 2022, are presented in the table below. Revenues increased mostly due to the increase in average Bitfarms’ BTC hashrate and average BTC price, partially offset by lower BTC earned as a result of the increase in network difficulty.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3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195"/>
        </w:trPr>
        <w:tc>
          <w:tcPr>
            <w:tcW w:w="6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BTC and revenues, including Volta, for the three months ended September 30,</w:t>
            </w: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44"/>
        </w:trPr>
        <w:tc>
          <w:tcPr>
            <w:tcW w:w="6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1,515</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33,247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195"/>
        </w:trPr>
        <w:tc>
          <w:tcPr>
            <w:tcW w:w="6200" w:type="dxa"/>
            <w:vAlign w:val="bottom"/>
          </w:tcPr>
          <w:p>
            <w:pPr>
              <w:spacing w:after="0" w:line="195" w:lineRule="exact"/>
              <w:rPr>
                <w:sz w:val="20"/>
                <w:szCs w:val="20"/>
                <w:color w:val="auto"/>
              </w:rPr>
            </w:pPr>
            <w:r>
              <w:rPr>
                <w:rFonts w:ascii="Arial" w:cs="Arial" w:eastAsia="Arial" w:hAnsi="Arial"/>
                <w:sz w:val="18"/>
                <w:szCs w:val="18"/>
                <w:color w:val="auto"/>
              </w:rPr>
              <w:t>Impact of increase in network difficulty during Q3 2023 as compared to Q3</w:t>
            </w: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(953)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(26,568)</w:t>
            </w: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increase in average Bitfarms’ BTC hashrate during Q3 2023 as</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compared to Q3 2022</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610</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16,964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w w:val="98"/>
              </w:rPr>
              <w:t>Impact of difference in average BTC price in Q3 2023 as compared to Q3 2022</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2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10,227</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Mining variance and change in Volta</w:t>
            </w:r>
          </w:p>
        </w:tc>
        <w:tc>
          <w:tcPr>
            <w:tcW w:w="1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BTC and revenues for the three months ended September 30, 2023</w:t>
            </w:r>
          </w:p>
        </w:tc>
        <w:tc>
          <w:tcPr>
            <w:tcW w:w="1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1,172</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34,596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711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3" w:lineRule="exact"/>
        <w:rPr>
          <w:sz w:val="20"/>
          <w:szCs w:val="20"/>
          <w:color w:val="auto"/>
        </w:rPr>
      </w:pPr>
    </w:p>
    <w:p>
      <w:pPr>
        <w:ind w:left="800" w:right="60" w:hanging="449"/>
        <w:spacing w:after="0" w:line="180" w:lineRule="auto"/>
        <w:tabs>
          <w:tab w:leader="none" w:pos="800" w:val="left"/>
        </w:tabs>
        <w:numPr>
          <w:ilvl w:val="0"/>
          <w:numId w:val="52"/>
        </w:numPr>
        <w:rPr>
          <w:rFonts w:ascii="Arial" w:cs="Arial" w:eastAsia="Arial" w:hAnsi="Arial"/>
          <w:sz w:val="33"/>
          <w:szCs w:val="33"/>
          <w:color w:val="auto"/>
          <w:vertAlign w:val="subscript"/>
        </w:rPr>
      </w:pPr>
      <w:r>
        <w:rPr>
          <w:rFonts w:ascii="Arial" w:cs="Arial" w:eastAsia="Arial" w:hAnsi="Arial"/>
          <w:sz w:val="17"/>
          <w:szCs w:val="17"/>
          <w:color w:val="auto"/>
        </w:rPr>
        <w:t>Calculated as the difference in BTC earned in Q3 2023 compared to Q3 2022, based on the change in network difficulty, multiplied by Q3 2023 average BTC price</w:t>
      </w:r>
    </w:p>
    <w:p>
      <w:pPr>
        <w:spacing w:after="0" w:line="1" w:lineRule="exact"/>
        <w:rPr>
          <w:sz w:val="20"/>
          <w:szCs w:val="20"/>
          <w:color w:val="auto"/>
        </w:rPr>
      </w:pPr>
    </w:p>
    <w:p>
      <w:pPr>
        <w:ind w:left="800" w:right="40" w:hanging="449"/>
        <w:spacing w:after="0" w:line="180" w:lineRule="auto"/>
        <w:tabs>
          <w:tab w:leader="none" w:pos="800" w:val="left"/>
        </w:tabs>
        <w:numPr>
          <w:ilvl w:val="0"/>
          <w:numId w:val="53"/>
        </w:numPr>
        <w:rPr>
          <w:rFonts w:ascii="Arial" w:cs="Arial" w:eastAsia="Arial" w:hAnsi="Arial"/>
          <w:sz w:val="33"/>
          <w:szCs w:val="33"/>
          <w:color w:val="auto"/>
          <w:vertAlign w:val="subscript"/>
        </w:rPr>
      </w:pPr>
      <w:r>
        <w:rPr>
          <w:rFonts w:ascii="Arial" w:cs="Arial" w:eastAsia="Arial" w:hAnsi="Arial"/>
          <w:sz w:val="17"/>
          <w:szCs w:val="17"/>
          <w:color w:val="auto"/>
        </w:rPr>
        <w:t>Calculated as the difference in BTC earned in Q3 2023 compared to Q3 2022, based on the change in Bitfarms' average BTC hashrate, multiplied by Q3 2023 average BTC price</w:t>
      </w:r>
    </w:p>
    <w:p>
      <w:pPr>
        <w:spacing w:after="0" w:line="1" w:lineRule="exact"/>
        <w:rPr>
          <w:sz w:val="20"/>
          <w:szCs w:val="20"/>
          <w:color w:val="auto"/>
        </w:rPr>
      </w:pPr>
    </w:p>
    <w:p>
      <w:pPr>
        <w:ind w:right="1600" w:firstLine="351"/>
        <w:spacing w:after="0" w:line="498" w:lineRule="auto"/>
        <w:tabs>
          <w:tab w:leader="none" w:pos="7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Calculated as the difference in average BTC price in Q3 2023 compared to Q3 2022 multiplied by BTC earned in Q3 2022 The following tables summarize the Company’s revenues and average hashrate by country:</w:t>
      </w: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Three months ended September 30,</w:t>
            </w:r>
          </w:p>
        </w:tc>
        <w:tc>
          <w:tcPr>
            <w:tcW w:w="118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24,230</w:t>
            </w: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27,445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USA</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3,491</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4,581</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(1,090)</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5,129</w:t>
            </w: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1,063</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683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88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34,596</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33,247</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1,349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89"/>
              </w:rPr>
              <w:t>Three months ended 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(Hashrate in EH/s except where indicated)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USA</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0.6</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49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14  Page</w:t>
      </w:r>
    </w:p>
    <w:p>
      <w:pPr>
        <w:sectPr>
          <w:pgSz w:w="11900" w:h="16838" w:orient="portrait"/>
          <w:cols w:equalWidth="0" w:num="1">
            <w:col w:w="11240"/>
          </w:cols>
          <w:pgMar w:left="320" w:top="229" w:right="339"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Q3 2023 v. Q3 2022 </w:t>
      </w:r>
      <w:r>
        <w:rPr>
          <w:rFonts w:ascii="Arial" w:cs="Arial" w:eastAsia="Arial" w:hAnsi="Arial"/>
          <w:sz w:val="18"/>
          <w:szCs w:val="18"/>
          <w:color w:val="auto"/>
        </w:rPr>
        <w:t>(Continued)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Canadian operations accounted for a smaller portion of total revenues in Q3 2023 largely due to the expansion of operations in Argentina. Bitfarms earned the majority of its revenues from its Canadian operations in Q3 2023, which accounted for 70% of total revenues, compared to 83% in Q3 2022. The Argentina, USA and Paraguay operations accounted for 15%, 10% and 5% of total revenues in Q3 2023, respectively, compared to nil, 14% and 3% in Q3 2022, respectively. For the Canadian operations, the impact of the increase in network difficulty was partially offset by the increase in average BTC price and the average hashrate increase of 0.5 EH/s, or 16%, which resulted in revenues decreasing by $3.2 million during Q3 2023 as compared to Q3 2022. Revenues from the Company’s USA operations decreased by $1.1 million in Q3 2023 as compared to Q3 2022 due to the increase in network difficulty, which was partially offset by the increase in average BTC price. The average hashrate increase of the Argentina and Paraguay operations of 0.8 EH/s, or 100%, and 0.2 EH/s, or 200%, respectively, resulted in Q3 2023 revenues from the Company’s operations in those jurisdictions increasing by $5.0 million and $0.7 million, respectively, compared to Q3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were $100.1 million in YTD Q3 2023, compared to $115.4 million in YTD Q3 2022, a decrease of $15.3 million, or 13%.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most significant factors impacting the decrease in Bitfarms’ revenues in YTD Q3 2023, compared to YTD Q3 2022, are presented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mostly due to the increase in network difficulty and the decrease in average BTC price, partially offset by the increase in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hashrate.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Note</w:t>
            </w:r>
          </w:p>
        </w:tc>
        <w:tc>
          <w:tcPr>
            <w:tcW w:w="13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BTC</w:t>
            </w: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195"/>
        </w:trPr>
        <w:tc>
          <w:tcPr>
            <w:tcW w:w="6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BTC and revenues, including Volta, for the nine months ended September 30,</w:t>
            </w:r>
          </w:p>
        </w:tc>
        <w:tc>
          <w:tcPr>
            <w:tcW w:w="1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4"/>
        </w:trPr>
        <w:tc>
          <w:tcPr>
            <w:tcW w:w="6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3,733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115,391</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95"/>
        </w:trPr>
        <w:tc>
          <w:tcPr>
            <w:tcW w:w="6180" w:type="dxa"/>
            <w:vAlign w:val="bottom"/>
          </w:tcPr>
          <w:p>
            <w:pPr>
              <w:spacing w:after="0" w:line="195" w:lineRule="exact"/>
              <w:rPr>
                <w:sz w:val="20"/>
                <w:szCs w:val="20"/>
                <w:color w:val="auto"/>
              </w:rPr>
            </w:pPr>
            <w:r>
              <w:rPr>
                <w:rFonts w:ascii="Arial" w:cs="Arial" w:eastAsia="Arial" w:hAnsi="Arial"/>
                <w:sz w:val="18"/>
                <w:szCs w:val="18"/>
                <w:color w:val="auto"/>
              </w:rPr>
              <w:t>Impact of increase in network difficulty during YTD Q3 2023 as compared to</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YTD Q3 2022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(2,294)</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(60,321)</w:t>
            </w: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Impact of increase in average Bitfarms’ BTC hashrate during YTD Q3 2023 as</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compared to YTD Q3 2022</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2,253</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58,334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Impact of difference in average BTC price in YTD Q3 2023 as compared to</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YTD Q3 2022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(14,712)</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Mining variance and change in Volta</w:t>
            </w:r>
          </w:p>
        </w:tc>
        <w:tc>
          <w:tcPr>
            <w:tcW w:w="1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1,433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BTC and revenues for the nine months ended September 30, 2023</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3,692</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100,125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711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Calculated as the difference in BTC earned in YTD Q3 2023 compared to YTD Q3 2022, based on the change in network difficulty, multiplied by YTD Q3 2023 average BTC price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Calculated as the difference in BTC earned in YTD Q3 2023 compared to YTD Q3 2022, based on the change in Bitfarms' average BTC hashrate, multiplied by YTD Q3 2023 average BTC price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Calculated as the difference in average BTC price in YTD Q3 2023 compared to YTD Q3 2022 multiplied by BTC earned in YTD Q3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287655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 w:space="220"/>
            <w:col w:w="10440"/>
          </w:cols>
          <w:pgMar w:left="320" w:top="229" w:right="339" w:bottom="1440" w:gutter="0" w:footer="0" w:header="0"/>
          <w:type w:val="continuous"/>
        </w:sectPr>
      </w:pPr>
    </w:p>
    <w:p>
      <w:pPr>
        <w:spacing w:after="0" w:line="265"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15  Page</w:t>
      </w:r>
    </w:p>
    <w:p>
      <w:pPr>
        <w:sectPr>
          <w:pgSz w:w="11900" w:h="16838" w:orient="portrait"/>
          <w:cols w:equalWidth="0" w:num="1">
            <w:col w:w="11240"/>
          </w:cols>
          <w:pgMar w:left="320" w:top="229" w:right="339"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YTD Q3 2023 v. YTD Q3 2022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revenues and average hashrate by country: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Nine months ended September 30,</w:t>
            </w: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74,177</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90,540</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(16,363)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USA</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11,675</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21,650</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(9,975)</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9,221</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9,063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r>
      <w:tr>
        <w:trPr>
          <w:trHeight w:val="229"/>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5,052</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3,043</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84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100,125</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115,391</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(15,266)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39"/>
        </w:trPr>
        <w:tc>
          <w:tcPr>
            <w:tcW w:w="48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c>
          <w:tcPr>
            <w:tcW w:w="1180" w:type="dxa"/>
            <w:vAlign w:val="bottom"/>
            <w:tcBorders>
              <w:bottom w:val="single" w:sz="8" w:color="auto"/>
            </w:tcBorders>
          </w:tcPr>
          <w:p>
            <w:pPr>
              <w:spacing w:after="0"/>
              <w:rPr>
                <w:sz w:val="24"/>
                <w:szCs w:val="24"/>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(Hashrate in EH/s except where indicated)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USA</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0.6</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84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Canadian operations accounted for a smaller proportion of total revenues in YTD Q3 2023 largely due to the expansion of operations in Argentina. Bitfarms earned the majority of its revenues from its Canadian operations in YTD Q3 2023, which accounted for 74% of total revenues, compared to 78% in YTD Q3 2022. The Argentina, USA and Paraguay operations accounted for 9%, 12% and 5% of total revenues in YTD Q3 2023, respectively, compared to nil, 19% and 3% in YTD Q3 2022, respectively. For the Company’s Canadian operations, the impact of the increase in network difficulty and the decrease in average BTC price was partially offset by the average hashrate increase of 1.2 EH/s, or 50%, which resulted in revenues decreasing by $16.4 million during YTD Q3 2023 as compared to YTD Q3 2022. Revenues from the Company’s USA operations decreased by $10.0 million during YTD Q3 2023 as compared to YTD Q3 2022 due to the increase in network difficulty and the decrease in average BTC price. The average hashrate increase of the Argentina and Paraguay operations of 0.5 EH/s, or 100%, and 0.1 EH/s, or 100%, respectively, resulted in YTD Q3 2023 revenues increasing by $9.1 million and $2.0 million, respectively, compared to YTD Q3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16  Page</w:t>
      </w:r>
    </w:p>
    <w:p>
      <w:pPr>
        <w:sectPr>
          <w:pgSz w:w="11900" w:h="16838" w:orient="portrait"/>
          <w:cols w:equalWidth="0" w:num="1">
            <w:col w:w="11240"/>
          </w:cols>
          <w:pgMar w:left="320" w:top="229" w:right="339"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B.</w:t>
            </w:r>
          </w:p>
        </w:tc>
        <w:tc>
          <w:tcPr>
            <w:tcW w:w="1900" w:type="dxa"/>
            <w:vAlign w:val="bottom"/>
          </w:tcPr>
          <w:p>
            <w:pPr>
              <w:ind w:left="60"/>
              <w:spacing w:after="0"/>
              <w:rPr>
                <w:sz w:val="20"/>
                <w:szCs w:val="20"/>
                <w:color w:val="auto"/>
              </w:rPr>
            </w:pPr>
            <w:r>
              <w:rPr>
                <w:rFonts w:ascii="Arial" w:cs="Arial" w:eastAsia="Arial" w:hAnsi="Arial"/>
                <w:sz w:val="18"/>
                <w:szCs w:val="18"/>
                <w:b w:val="1"/>
                <w:bCs w:val="1"/>
                <w:color w:val="auto"/>
              </w:rPr>
              <w:t>Cost of Revenues</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00" w:type="dxa"/>
            <w:vAlign w:val="bottom"/>
            <w:gridSpan w:val="2"/>
          </w:tcPr>
          <w:p>
            <w:pPr>
              <w:spacing w:after="0" w:line="195" w:lineRule="exact"/>
              <w:rPr>
                <w:sz w:val="20"/>
                <w:szCs w:val="20"/>
                <w:color w:val="auto"/>
              </w:rPr>
            </w:pPr>
            <w:r>
              <w:rPr>
                <w:rFonts w:ascii="Arial" w:cs="Arial" w:eastAsia="Arial" w:hAnsi="Arial"/>
                <w:sz w:val="18"/>
                <w:szCs w:val="18"/>
                <w:color w:val="auto"/>
              </w:rPr>
              <w:t>(U.S.$ in thousands except</w:t>
            </w: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where indicated)</w:t>
            </w:r>
          </w:p>
        </w:tc>
        <w:tc>
          <w:tcPr>
            <w:tcW w:w="10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5"/>
              </w:rPr>
              <w:t>% Change</w:t>
            </w: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20,396</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15,489</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4,907</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57,339</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38,970</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18,369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21,767</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20,720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1,047</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62,995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51,643</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11,352</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Purchases of electrical</w:t>
            </w:r>
          </w:p>
        </w:tc>
        <w:tc>
          <w:tcPr>
            <w:tcW w:w="10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890</w:t>
            </w:r>
          </w:p>
        </w:tc>
        <w:tc>
          <w:tcPr>
            <w:tcW w:w="1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1,830</w:t>
            </w:r>
          </w:p>
        </w:tc>
        <w:tc>
          <w:tcPr>
            <w:tcW w:w="1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components</w:t>
            </w:r>
          </w:p>
        </w:tc>
        <w:tc>
          <w:tcPr>
            <w:tcW w:w="10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202</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10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1,252</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Electrician salaries and payroll</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taxes</w:t>
            </w:r>
          </w:p>
        </w:tc>
        <w:tc>
          <w:tcPr>
            <w:tcW w:w="19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409</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289</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1,220</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924</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43,462</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37,186</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6,276</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123,384</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92,789</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30,595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2023 v. Q3 2022</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cost of revenues for Q3 2023 was $43.5 million compared to $37.2 million for Q3 2022. The increase in cost of revenues was mainly attributable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$4.9 million, or 32%, increase in energy and infrastructure expenses, mainly due to the Company adding new Miners, which increased energy utilization to an average of 197 MW during Q3 2023 versus 152 MW for the same period in 2022, and higher energy rates in 2023, resulting in an increase in electricity costs of $5.5 million. The availability and pricing of energy may be negatively affected by governmental or regulatory changes in energy policies in the countries, provinces and states where the Company operates.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$1.1 million increase in non-cash depreciation and amortization expense as the Company added new Miners and electrical infrastructure.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repairs and maintenance of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decrease in rent expense of $0.7 million mainly due to the capitalization of the leased Washington facility, which was renewed in Q4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Bitfarms’ cost of revenues was $123.4 million for YTD Q3 2023 compared to $92.8 million for YTD Q3 2022. The increase in cost of revenues was mainly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$18.4 million, or 47%, increase in energy and infrastructure expenses, mainly due to the Company adding new Miners and upgrading its fleet, which increased energy utilization to an average of 185 MW during YTD Q3 2023, compared to 126 MW for the same period in 2022, resulting in an increase in electricity costs of $20.0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$11.4 million increase in non-cash depreciation and amortization expense as the Company added new Miners and electrical infrastructure.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decrease in rent expense of $1.3 million mainly due to the capitalization of the leased Washington facility which was renewed in Q4 2022.</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in repairs and maintenance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17  Page</w:t>
      </w:r>
    </w:p>
    <w:p>
      <w:pPr>
        <w:sectPr>
          <w:pgSz w:w="11900" w:h="16838" w:orient="portrait"/>
          <w:cols w:equalWidth="0" w:num="1">
            <w:col w:w="11240"/>
          </w:cols>
          <w:pgMar w:left="320" w:top="229" w:right="339"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General &amp;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 September 30,</w:t>
            </w:r>
          </w:p>
        </w:tc>
        <w:tc>
          <w:tcPr>
            <w:tcW w:w="3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6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 Change</w:t>
            </w:r>
          </w:p>
        </w:tc>
        <w:tc>
          <w:tcPr>
            <w:tcW w:w="10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Salaries and share-based</w:t>
            </w:r>
          </w:p>
        </w:tc>
        <w:tc>
          <w:tcPr>
            <w:tcW w:w="11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4,939</w:t>
            </w:r>
          </w:p>
        </w:tc>
        <w:tc>
          <w:tcPr>
            <w:tcW w:w="1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15,136</w:t>
            </w:r>
          </w:p>
        </w:tc>
        <w:tc>
          <w:tcPr>
            <w:tcW w:w="10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11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6,097</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(1,158)</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04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23,648</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(8,512)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1,795</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1,835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5,325</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6,459</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(1,134)</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Insurance, duties and other</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1,165</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1,992</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4,077</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7,951</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(3,874)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Travel, motor vehicle and</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295</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678</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meals</w:t>
            </w:r>
          </w:p>
        </w:tc>
        <w:tc>
          <w:tcPr>
            <w:tcW w:w="1120" w:type="dxa"/>
            <w:vAlign w:val="bottom"/>
            <w:vMerge w:val="continue"/>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233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1040" w:type="dxa"/>
            <w:vAlign w:val="bottom"/>
            <w:vMerge w:val="continue"/>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894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(216)</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Hosting and</w:t>
            </w:r>
          </w:p>
        </w:tc>
        <w:tc>
          <w:tcPr>
            <w:tcW w:w="11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105</w:t>
            </w: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311</w:t>
            </w: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telecommunications</w:t>
            </w:r>
          </w:p>
        </w:tc>
        <w:tc>
          <w:tcPr>
            <w:tcW w:w="11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04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431</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Advertising and promotion</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73</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128%</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151</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8,372</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10,299</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(1,927)</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25,887</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39,534</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(13,647)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2023 v. Q3 2022</w:t>
      </w:r>
    </w:p>
    <w:p>
      <w:pPr>
        <w:spacing w:after="0" w:line="2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Bitfarms’ general and administrative (“G&amp;A”) expenses were $8.4 million in Q3 2023, compared to $10.3 million for Q3 2022. The decrease of $1.9 million, or 18%, in G&amp;A expense was largely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$2.0 million decrease in non-cash share-based payment expense in connection with stock options granted in 2021, with fair values between $3.16 to $5.97, having a higher share-based payment expense in Q3 2022 than Q3 2023. As the majority of these 2021 stock options were fully vested or cancelled at the end of Q1 2023, as explained below, the Company did not incur an expense for these options in Q3 2023, compared to the time-based vesting expense in Q3 2022.</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$0.8 million decrease in the Company’s insurance, duties and other expense mostly due to lower insurance premiums reflecting lower asset values, particularly Miners, due to general market conditions, partially offset by a larger number of Miners.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340" w:hanging="332"/>
        <w:spacing w:after="0" w:line="26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$0.8 million increase in salaries and wages due to the increase in the Company’s headcount in Q3 2023 compared to Q3 2022 to support the global expansion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18  Page</w:t>
      </w:r>
    </w:p>
    <w:p>
      <w:pPr>
        <w:sectPr>
          <w:pgSz w:w="11900" w:h="16838" w:orient="portrait"/>
          <w:cols w:equalWidth="0" w:num="1">
            <w:col w:w="11240"/>
          </w:cols>
          <w:pgMar w:left="320" w:top="229" w:right="339"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&amp; Administrative Expenses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YTD Q3 2023, Bitfarms’ G&amp;A expenses were $25.9 million, compared to $39.5 million for the same period in 2022. The decrease of $13.6 million, or 34%, in G&amp;A expenses was mainly due to:</w:t>
      </w:r>
    </w:p>
    <w:p>
      <w:pPr>
        <w:spacing w:after="0" w:line="17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$11.0 million decrease in non-cash share-based payment expense in connection with:</w:t>
      </w:r>
    </w:p>
    <w:p>
      <w:pPr>
        <w:spacing w:after="0" w:line="23" w:lineRule="exact"/>
        <w:rPr>
          <w:rFonts w:ascii="Arial" w:cs="Arial" w:eastAsia="Arial" w:hAnsi="Arial"/>
          <w:sz w:val="18"/>
          <w:szCs w:val="18"/>
          <w:color w:val="auto"/>
        </w:rPr>
      </w:pPr>
    </w:p>
    <w:p>
      <w:pPr>
        <w:ind w:left="980" w:right="20" w:hanging="324"/>
        <w:spacing w:after="0" w:line="281" w:lineRule="auto"/>
        <w:tabs>
          <w:tab w:leader="none" w:pos="980"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Stock options granted in 2021 with fair values between $3.16 to $5.97 had a higher share-based payment expense in YTD Q3 2022 than YTD Q3 2023 due to the time-based vesting method, which resulted in an accelerated recognition of share-based expense in earlier periods.</w:t>
      </w:r>
    </w:p>
    <w:p>
      <w:pPr>
        <w:spacing w:after="0" w:line="1" w:lineRule="exact"/>
        <w:rPr>
          <w:rFonts w:ascii="Arial" w:cs="Arial" w:eastAsia="Arial" w:hAnsi="Arial"/>
          <w:sz w:val="16"/>
          <w:szCs w:val="16"/>
          <w:b w:val="1"/>
          <w:bCs w:val="1"/>
          <w:color w:val="auto"/>
        </w:rPr>
      </w:pPr>
    </w:p>
    <w:p>
      <w:pPr>
        <w:jc w:val="both"/>
        <w:ind w:left="980" w:hanging="324"/>
        <w:spacing w:after="0" w:line="250" w:lineRule="auto"/>
        <w:tabs>
          <w:tab w:leader="none" w:pos="98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The majority of those 2021 stock options were fully vested or cancelled at the end of the first quarter of 2023, which resulted in accelerated share-based payment expense of $0.9 million during YTD Q3 2023. Refer to Note 21 to the Financial Statements for more details. The Company only incurred the share-based payment expense for those cancelled options during the first 3 months of YTD Q3 2023, compared to the graded vesting expense in YTD Q3 2022.</w:t>
      </w:r>
    </w:p>
    <w:p>
      <w:pPr>
        <w:spacing w:after="0" w:line="1" w:lineRule="exact"/>
        <w:rPr>
          <w:rFonts w:ascii="Arial" w:cs="Arial" w:eastAsia="Arial" w:hAnsi="Arial"/>
          <w:sz w:val="18"/>
          <w:szCs w:val="18"/>
          <w:b w:val="1"/>
          <w:bCs w:val="1"/>
          <w:color w:val="auto"/>
        </w:rPr>
      </w:pPr>
    </w:p>
    <w:p>
      <w:pPr>
        <w:ind w:left="340" w:hanging="332"/>
        <w:spacing w:after="0" w:line="25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inclusion of $1.8 million of shipping costs and duties in YTD Q3 2022 from transferring older generation Miners from Canada to Paraguay, which did not occur in YTD Q3 2023.</w:t>
      </w:r>
    </w:p>
    <w:p>
      <w:pPr>
        <w:ind w:left="340" w:right="20" w:hanging="332"/>
        <w:spacing w:after="0" w:line="25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$1.4 million decrease in the Company’s insurance expense mostly due to refunds from insurers and lower premiums reflecting lower asset values, particularly Miners, due to general market conditions, partially offset by a larger number of Miners.</w:t>
      </w:r>
    </w:p>
    <w:p>
      <w:pPr>
        <w:ind w:left="340" w:hanging="332"/>
        <w:spacing w:after="0" w:line="26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$1.1 million decrease in professional fees mainly due to the termination of consulting agreements with two directors in the fourth quarter of 2022 and the previous owner of the Company’s Mining facility in Washington State in the first quarter of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ind w:left="340" w:right="20" w:hanging="332"/>
        <w:spacing w:after="0" w:line="260"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$2.5 million increase in salaries and wages as a result of hiring additional employees in YTD Q3 2023 compared to YTD Q3 2022 to support the global expansion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19  Page</w:t>
      </w:r>
    </w:p>
    <w:p>
      <w:pPr>
        <w:sectPr>
          <w:pgSz w:w="11900" w:h="16838" w:orient="portrait"/>
          <w:cols w:equalWidth="0" w:num="1">
            <w:col w:w="11240"/>
          </w:cols>
          <w:pgMar w:left="320" w:top="229" w:right="339"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Net financial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Three months ended September 30,</w:t>
            </w:r>
          </w:p>
        </w:tc>
        <w:tc>
          <w:tcPr>
            <w:tcW w:w="3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0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 Change</w:t>
            </w:r>
          </w:p>
        </w:tc>
        <w:tc>
          <w:tcPr>
            <w:tcW w:w="10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Gain on disposition of</w:t>
            </w:r>
          </w:p>
        </w:tc>
        <w:tc>
          <w:tcPr>
            <w:tcW w:w="10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(4,120)</w:t>
            </w: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(11,246)</w:t>
            </w:r>
          </w:p>
        </w:tc>
        <w:tc>
          <w:tcPr>
            <w:tcW w:w="10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(13,690)</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9,570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8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(44,332)</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33,086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Gain on extinguishment of</w:t>
            </w: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long-term debt and lease</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(12,835)</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08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(12,835)</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exchange</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2,070</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2,062</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nm</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5,059</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1,884</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Interest on credit facility and</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481</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2,405</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8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3,020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(2,539)</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08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9,916</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(7,511)</w:t>
            </w: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334</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1,053</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1,034</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Discount expense on VAT</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1,046</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2,748</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08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1,919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(873)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8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6,929</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(4,181)</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financial (income)</w:t>
            </w:r>
          </w:p>
        </w:tc>
        <w:tc>
          <w:tcPr>
            <w:tcW w:w="10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(147)</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110</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378</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(336)</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(8,251)</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7,915</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(12,706)</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(24,191)</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11,485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20"/>
                <w:szCs w:val="20"/>
                <w:color w:val="auto"/>
              </w:rPr>
            </w:pPr>
            <w:r>
              <w:rPr>
                <w:rFonts w:ascii="Arial" w:cs="Arial" w:eastAsia="Arial" w:hAnsi="Arial"/>
                <w:sz w:val="18"/>
                <w:szCs w:val="18"/>
                <w:i w:val="1"/>
                <w:iCs w:val="1"/>
                <w:color w:val="auto"/>
              </w:rPr>
              <w:t>nm: not meaningful</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2023 v. Q3 2022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Bitfarms’ net financial income was $0.3 million for Q3 2023, compared to $8.3 million for Q3 2022. The $7.9 million decrease was primarily related to:</w:t>
      </w:r>
    </w:p>
    <w:p>
      <w:pPr>
        <w:spacing w:after="0" w:line="237" w:lineRule="exact"/>
        <w:rPr>
          <w:sz w:val="20"/>
          <w:szCs w:val="20"/>
          <w:color w:val="auto"/>
        </w:rPr>
      </w:pPr>
    </w:p>
    <w:p>
      <w:pPr>
        <w:jc w:val="both"/>
        <w:ind w:left="340" w:hanging="332"/>
        <w:spacing w:after="0" w:line="26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$9.6 million decrease in gain on disposition of marketable securities due to less funds being sent to Argentina in Q3 2023 compared to Q3 2022 as the capital expenditures related to the first facility were mostly paid in 2022. The Company has been utilizing a mechanism since Q3 2021 to fund its Argentina expansion. The Company has been funding its expansion in Argentina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ind w:left="340" w:hanging="332"/>
        <w:spacing w:after="0" w:line="260"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$2.1 million increase in loss on foreign exchange due to the revaluation of the Company’s net monetary assets denominated in foreign currencies following the weakening of the Argentine Pesos at the end of Q3 2023 compared to the end of Q3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jc w:val="both"/>
        <w:ind w:left="340" w:hanging="332"/>
        <w:spacing w:after="0" w:line="25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$2.5 million decrease in interest expense on (i) the $100 million credit facility which commenced on December 30, 2021 and was fully repaid and extinguished in December 2022, (ii) the BlockFi Loan which commenced on February 18, 2022 and was extinguished in February 2023 as described below and (iii) the NYDIG Loan which commenced on June 15, 2022. The NYDIG Loan is classified as long-term debt in the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20  Page</w:t>
      </w:r>
    </w:p>
    <w:p>
      <w:pPr>
        <w:sectPr>
          <w:pgSz w:w="11900" w:h="16838" w:orient="portrait"/>
          <w:cols w:equalWidth="0" w:num="1">
            <w:col w:w="11240"/>
          </w:cols>
          <w:pgMar w:left="320" w:top="229" w:right="339"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financial income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Q3 2023 v. Q3 2022 </w:t>
      </w:r>
      <w:r>
        <w:rPr>
          <w:rFonts w:ascii="Arial" w:cs="Arial" w:eastAsia="Arial" w:hAnsi="Arial"/>
          <w:sz w:val="18"/>
          <w:szCs w:val="18"/>
          <w:color w:val="auto"/>
        </w:rPr>
        <w:t>(Continued)</w:t>
      </w:r>
    </w:p>
    <w:p>
      <w:pPr>
        <w:spacing w:after="0" w:line="225" w:lineRule="exact"/>
        <w:rPr>
          <w:sz w:val="20"/>
          <w:szCs w:val="20"/>
          <w:color w:val="auto"/>
        </w:rPr>
      </w:pPr>
    </w:p>
    <w:p>
      <w:pPr>
        <w:jc w:val="both"/>
        <w:ind w:left="340" w:hanging="332"/>
        <w:spacing w:after="0" w:line="279"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discounting expense on the Argentina VAT receivable of $1.9 million during Q3 2022 relates to the country’s historically high rate of inflation and expected length of time before the VAT receivable is refunded and reflects the accounting under the effective interest rate method. During Q3 2023, new additions to the VAT receivable were discounted, which had a lesser balance than the amount discounted in Q3 2022, resulting in lesser expense in Q3 2023. The discounting expense was partially offset by increasing accretion income from the passage of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Bitfarms’ net financial income for YTD Q3 2023 was $12.7 million, compared to $24.2 million for YTD Q3 2022. The $11.5 million decrease was mainly due to:</w:t>
      </w:r>
    </w:p>
    <w:p>
      <w:pPr>
        <w:spacing w:after="0" w:line="170" w:lineRule="exact"/>
        <w:rPr>
          <w:sz w:val="20"/>
          <w:szCs w:val="20"/>
          <w:color w:val="auto"/>
        </w:rPr>
      </w:pPr>
    </w:p>
    <w:p>
      <w:pPr>
        <w:jc w:val="both"/>
        <w:ind w:left="340" w:hanging="332"/>
        <w:spacing w:after="0" w:line="255"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$33.1 million decrease in gain on disposition of marketable securities due to less funds being sent to Argentina during YTD Q3 2023 compared to YTD Q3 2022. The Company utilizes a mechanism beginning in Q3 2021 in which its Argentina expansion was funded as explained in the Q3 2023 v. Q3 2022 section above.</w:t>
      </w:r>
    </w:p>
    <w:p>
      <w:pPr>
        <w:spacing w:after="0" w:line="2"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$3.2 million increase in loss on foreign exchange due to the revaluation of the Company’s net monetary assets denominated in foreign currencies following the weakening of the Argentine Pesos at the end of Q3 2023 compared to the end of Q3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$12.8 million gain on extinguishment of long-term debt and lease liabilities during YTD Q3 2023. In February 2023:</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BlockFi and the Company negotiated a settlement of the loan in its entirety for cash consideration of $7.8 million, resulting in a gain on extinguishment of long-term debt of $12.6 million; and</w:t>
      </w:r>
    </w:p>
    <w:p>
      <w:pPr>
        <w:jc w:val="both"/>
        <w:ind w:left="980" w:hanging="324"/>
        <w:spacing w:after="0" w:line="250"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$7.5 million decrease in interest expense due to the same factors explained in the Q3 2023 v. Q3 2022 section above.</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$4.2 million decrease in discounting expense on the Argentina VAT receivable during YTD Q3 2023 compared to YTD Q3 2022 due to the same reason explained in the Q3 2023 v. Q3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21  Page</w:t>
      </w:r>
    </w:p>
    <w:p>
      <w:pPr>
        <w:sectPr>
          <w:pgSz w:w="11900" w:h="16838" w:orient="portrait"/>
          <w:cols w:equalWidth="0" w:num="1">
            <w:col w:w="11240"/>
          </w:cols>
          <w:pgMar w:left="320" w:top="229" w:right="339"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impairment loss on short-term prepaid deposits, equipment and construction prepayments, property, plant and equipment and right-of-use assets for the three and nine months ended September 30, 2023 were nil and $10.0 million, respectively (three and nine months ended September 30, 2022: $84.1 million for both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on short-term prepaid deposits during the second quarter of 2023</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2022, the Argentinian government changed the importations system previously in place and imposed additional controls on imports into Argentina as a way of limiting the outflow of U.S. dollars from the country. In the first quarter of 2023, the Company was able to apply for a self-importation license based on its extended operating history in Argentina and successfully became a self-importer in Argentina to reduce the importation expenses and facilitate the importation of Miners. Accordingly, the Company terminated all pending importation agreements with external brokers as of June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assumed the cost of terminating the importation agreements with the brokers in order to execute its new importation strategy, resulting in the Company forgoing a balance of $7.0 million of deposits. Accordingly, as of June 30, 2023, the Company impaired $7.0 million of short-term prepaid deposits. This impairment is presented in the consolidated statements of profit or loss and comprehensive profit or loss under Impairment on short-term prepaid deposits and property, plant and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on mineral assets during the second quarter of 2023</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Suni mineral asset was acquired in connection with the reverse acquisition of Bitfarms Ltd (Israel) on April 12, 2018 and its value, at the time, was estimated at $9.0 million based on an independent appraiser’s valuation. Suni is an iron ore deposit located in Canada that was held by the acquiree. Since its acquisition, following the presence of impairment indicators, the Suni mineral asset was written down to a net book value of $3.0 million as of December 31, 2022.</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2023, in connection with the planned disposal of the Suni mineral asset, management tested the cash-generating unit for impairment, resulting in a further impairment charge of $3.0 million and bringing the carrying amount to nil. This impairment charge is presented in the consolidated statements of profit or loss and comprehensive profit or loss under Impairment on short-term prepaid deposits and property, plant and equipment.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22  Page</w:t>
      </w:r>
    </w:p>
    <w:p>
      <w:pPr>
        <w:sectPr>
          <w:pgSz w:w="11900" w:h="16838" w:orient="portrait"/>
          <w:cols w:equalWidth="0" w:num="1">
            <w:col w:w="11240"/>
          </w:cols>
          <w:pgMar w:left="320" w:top="229" w:right="339"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8. SELECTED QUARTERLY INFORMATION</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w w:val="96"/>
              </w:rPr>
              <w:t>(U.S. $ in thousands except</w:t>
            </w: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Q3 2023</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earnings per share)</w:t>
            </w:r>
          </w:p>
        </w:tc>
        <w:tc>
          <w:tcPr>
            <w:tcW w:w="1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Q2 2023</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Q1 2023</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Q4 2022</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Q3 2022</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Q2 2022</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Q1 2022</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Q4 2021</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34,596</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35,479</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30,050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27,037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33,247</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41,815</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40,329</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59,598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(18,703)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(24,894)</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(2,479)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(16,843)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(84,808)</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(141,918)</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4,519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(loss) earnings</w:t>
            </w:r>
          </w:p>
        </w:tc>
        <w:tc>
          <w:tcPr>
            <w:tcW w:w="11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(0.07)</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(0.10)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(0.01)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(0.08)</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(0.40)</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(0.70)</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0.02</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(loss) income before</w:t>
            </w:r>
          </w:p>
        </w:tc>
        <w:tc>
          <w:tcPr>
            <w:tcW w:w="1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taxes</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(18,302)</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(24,988)</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(2,809)</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(16,652)</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(89,533)</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(161,234)</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10,957</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17,937</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815</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1,023</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1,620</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3,271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3,394</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4,546</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3,010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21,767</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20,528</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20,700</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20,777</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20,720</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17,857</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13,066</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50"/>
        </w:trPr>
        <w:tc>
          <w:tcPr>
            <w:tcW w:w="2160" w:type="dxa"/>
            <w:vAlign w:val="bottom"/>
          </w:tcPr>
          <w:p>
            <w:pPr>
              <w:spacing w:after="0" w:line="250"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4,280</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(3,437)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19,511</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7,396</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(65,419)</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(138,831)</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27,033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29,061</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EBITDA margin</w:t>
            </w:r>
            <w:r>
              <w:rPr>
                <w:rFonts w:ascii="Arial" w:cs="Arial" w:eastAsia="Arial" w:hAnsi="Arial"/>
                <w:sz w:val="29"/>
                <w:szCs w:val="29"/>
                <w:b w:val="1"/>
                <w:bCs w:val="1"/>
                <w:color w:val="auto"/>
                <w:vertAlign w:val="superscript"/>
              </w:rPr>
              <w:t>(1)</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(332)%</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8"/>
                <w:szCs w:val="18"/>
                <w:color w:val="auto"/>
              </w:rPr>
              <w:t>Share-based payment</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2,462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2,536</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3,795</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3,961</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7,927</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6,105</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w:t>
            </w: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of digital</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6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(587)</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28,567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44,329</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77,880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(Reversal of) revaluation</w:t>
            </w: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1,183</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loss on digital assets</w:t>
            </w:r>
          </w:p>
        </w:tc>
        <w:tc>
          <w:tcPr>
            <w:tcW w:w="1160" w:type="dxa"/>
            <w:vAlign w:val="bottom"/>
            <w:vMerge w:val="continue"/>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(2,695)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(23,284)</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(45,655)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70,475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(3,702)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extinguishment of</w:t>
            </w: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long-term debt and lease</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6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(12,835)</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Impairment (reversal) on</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short-term prepaid</w:t>
            </w: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w w:val="99"/>
              </w:rPr>
              <w:t>deposits, equipment and</w:t>
            </w: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prepayments, property,</w:t>
            </w: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w w:val="98"/>
              </w:rPr>
              <w:t>plant and equipment and</w:t>
            </w: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160" w:type="dxa"/>
            <w:vAlign w:val="bottom"/>
            <w:vMerge w:val="continue"/>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9,982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(8,903)</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84,116</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17,900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Gain on disposition of</w:t>
            </w: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(4,120)</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60" w:type="dxa"/>
            <w:vAlign w:val="bottom"/>
            <w:vMerge w:val="continue"/>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(4,955)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(2,171)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(7,317)</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(13,690)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(19,705)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(10,937)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financial expenses</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3,512</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and other</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3,620</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2,810</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1,933</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2,683</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4,057</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3,765</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50"/>
        </w:trPr>
        <w:tc>
          <w:tcPr>
            <w:tcW w:w="2160" w:type="dxa"/>
            <w:vAlign w:val="bottom"/>
          </w:tcPr>
          <w:p>
            <w:pPr>
              <w:spacing w:after="0" w:line="25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8"/>
                <w:szCs w:val="28"/>
                <w:b w:val="1"/>
                <w:bCs w:val="1"/>
                <w:color w:val="auto"/>
                <w:vertAlign w:val="superscript"/>
              </w:rPr>
              <w:t>(1)</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6,866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7,672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6,569</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2,187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10,325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19,703</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22,298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40,476</w:t>
            </w: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Adjusted EBITDA</w:t>
            </w: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160" w:type="dxa"/>
            <w:vAlign w:val="bottom"/>
            <w:tcBorders>
              <w:bottom w:val="single" w:sz="8" w:color="auto"/>
            </w:tcBorders>
            <w:shd w:val="clear" w:color="auto" w:fill="CCEEFF"/>
          </w:tcPr>
          <w:p>
            <w:pPr>
              <w:ind w:left="180"/>
              <w:spacing w:after="0" w:line="271" w:lineRule="exact"/>
              <w:rPr>
                <w:sz w:val="20"/>
                <w:szCs w:val="20"/>
                <w:color w:val="auto"/>
              </w:rPr>
            </w:pPr>
            <w:r>
              <w:rPr>
                <w:rFonts w:ascii="Arial" w:cs="Arial" w:eastAsia="Arial" w:hAnsi="Arial"/>
                <w:sz w:val="18"/>
                <w:szCs w:val="18"/>
                <w:b w:val="1"/>
                <w:bCs w:val="1"/>
                <w:color w:val="auto"/>
              </w:rPr>
              <w:t>margin</w:t>
            </w:r>
            <w:r>
              <w:rPr>
                <w:rFonts w:ascii="Arial" w:cs="Arial" w:eastAsia="Arial" w:hAnsi="Arial"/>
                <w:sz w:val="29"/>
                <w:szCs w:val="29"/>
                <w:b w:val="1"/>
                <w:bCs w:val="1"/>
                <w:color w:val="auto"/>
                <w:vertAlign w:val="superscript"/>
              </w:rPr>
              <w:t>(1)</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was in Quebec, where power was sourced directly from Hydro-Quebec, Hydro-Magog and Hydro-Sherbrooke. The Company also had operations in Washington State that were powered by the Grant County Power Utility District as well as operations in Paraguay that were powered by CLYFSA. In Q3 2022, the Company began operations in Argentina. The production facility in Argentina was temporarily connected to the power grid until the private power producer obtained the requisite permits to provide power directly to the Company in April 2023.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Q3 2023 details, refer to Section 7A - </w:t>
      </w:r>
      <w:r>
        <w:rPr>
          <w:rFonts w:ascii="Arial" w:cs="Arial" w:eastAsia="Arial" w:hAnsi="Arial"/>
          <w:sz w:val="16"/>
          <w:szCs w:val="16"/>
          <w:i w:val="1"/>
          <w:iCs w:val="1"/>
          <w:color w:val="auto"/>
        </w:rPr>
        <w:t>Financial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Revenues);</w:t>
      </w:r>
      <w:r>
        <w:rPr>
          <w:rFonts w:ascii="Arial" w:cs="Arial" w:eastAsia="Arial" w:hAnsi="Arial"/>
          <w:sz w:val="16"/>
          <w:szCs w:val="16"/>
          <w:color w:val="auto"/>
        </w:rPr>
        <w:t xml:space="preserve"> Section 10A - </w:t>
      </w:r>
      <w:r>
        <w:rPr>
          <w:rFonts w:ascii="Arial" w:cs="Arial" w:eastAsia="Arial" w:hAnsi="Arial"/>
          <w:sz w:val="16"/>
          <w:szCs w:val="16"/>
          <w:i w:val="1"/>
          <w:iCs w:val="1"/>
          <w:color w:val="auto"/>
        </w:rPr>
        <w:t>Liquidity and Capital Resources (Cash Flows);</w:t>
      </w:r>
      <w:r>
        <w:rPr>
          <w:rFonts w:ascii="Arial" w:cs="Arial" w:eastAsia="Arial" w:hAnsi="Arial"/>
          <w:sz w:val="16"/>
          <w:szCs w:val="16"/>
          <w:color w:val="auto"/>
        </w:rPr>
        <w:t xml:space="preserve"> and Section 6</w:t>
      </w:r>
    </w:p>
    <w:p>
      <w:pPr>
        <w:spacing w:after="0" w:line="46" w:lineRule="exact"/>
        <w:rPr>
          <w:sz w:val="20"/>
          <w:szCs w:val="20"/>
          <w:color w:val="auto"/>
        </w:rPr>
      </w:pPr>
    </w:p>
    <w:p>
      <w:pPr>
        <w:ind w:left="120" w:hanging="112"/>
        <w:spacing w:after="0"/>
        <w:tabs>
          <w:tab w:leader="none" w:pos="1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Expansion Projects </w:t>
      </w:r>
      <w:r>
        <w:rPr>
          <w:rFonts w:ascii="Arial" w:cs="Arial" w:eastAsia="Arial" w:hAnsi="Arial"/>
          <w:sz w:val="18"/>
          <w:szCs w:val="18"/>
          <w:color w:val="auto"/>
        </w:rPr>
        <w:t>(</w:t>
      </w:r>
      <w:r>
        <w:rPr>
          <w:rFonts w:ascii="Arial" w:cs="Arial" w:eastAsia="Arial" w:hAnsi="Arial"/>
          <w:sz w:val="18"/>
          <w:szCs w:val="18"/>
          <w:i w:val="1"/>
          <w:iCs w:val="1"/>
          <w:color w:val="auto"/>
        </w:rPr>
        <w:t>Washington Expansion, Paraguay Expansion, Argentina Expansion and Baie-Comeau Expansion</w:t>
      </w:r>
      <w:r>
        <w:rPr>
          <w:rFonts w:ascii="Arial" w:cs="Arial" w:eastAsia="Arial" w:hAnsi="Arial"/>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ind w:left="200" w:hanging="192"/>
        <w:spacing w:after="0" w:line="194" w:lineRule="auto"/>
        <w:tabs>
          <w:tab w:leader="none" w:pos="200" w:val="left"/>
        </w:tabs>
        <w:numPr>
          <w:ilvl w:val="0"/>
          <w:numId w:val="76"/>
        </w:numPr>
        <w:rPr>
          <w:rFonts w:ascii="Arial" w:cs="Arial" w:eastAsia="Arial" w:hAnsi="Arial"/>
          <w:sz w:val="30"/>
          <w:szCs w:val="30"/>
          <w:color w:val="auto"/>
          <w:vertAlign w:val="superscript"/>
        </w:rPr>
      </w:pPr>
      <w:r>
        <w:rPr>
          <w:rFonts w:ascii="Arial" w:cs="Arial" w:eastAsia="Arial" w:hAnsi="Arial"/>
          <w:sz w:val="18"/>
          <w:szCs w:val="18"/>
          <w:color w:val="auto"/>
        </w:rPr>
        <w:t xml:space="preserve">EBITDA, EBITDA margin, Adjusted EBITDA and Adjusted EBITDA margin are non-IFRS measures or ratios; refer to section 9 - </w:t>
      </w:r>
      <w:r>
        <w:rPr>
          <w:rFonts w:ascii="Arial" w:cs="Arial" w:eastAsia="Arial" w:hAnsi="Arial"/>
          <w:sz w:val="18"/>
          <w:szCs w:val="18"/>
          <w:i w:val="1"/>
          <w:iCs w:val="1"/>
          <w:color w:val="auto"/>
        </w:rPr>
        <w:t>Non-IFRS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 and Ratios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23  Page</w:t>
      </w:r>
    </w:p>
    <w:p>
      <w:pPr>
        <w:sectPr>
          <w:pgSz w:w="11900" w:h="16838" w:orient="portrait"/>
          <w:cols w:equalWidth="0" w:num="1">
            <w:col w:w="11240"/>
          </w:cols>
          <w:pgMar w:left="320" w:top="229" w:right="339"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5780" w:firstLine="8"/>
        <w:spacing w:after="0" w:line="503" w:lineRule="auto"/>
        <w:tabs>
          <w:tab w:leader="none" w:pos="1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NON-IFRS AND OTHER FINANCIAL MEASURES AND RATIOS Non-IFRS financial measures</w:t>
      </w:r>
    </w:p>
    <w:p>
      <w:pPr>
        <w:jc w:val="both"/>
        <w:spacing w:after="0" w:line="263" w:lineRule="auto"/>
        <w:rPr>
          <w:sz w:val="20"/>
          <w:szCs w:val="20"/>
          <w:color w:val="auto"/>
        </w:rPr>
      </w:pPr>
      <w:r>
        <w:rPr>
          <w:rFonts w:ascii="Arial" w:cs="Arial" w:eastAsia="Arial" w:hAnsi="Arial"/>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20 -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Non-IFRS and Other Financial Measures and Ratios </w:t>
      </w:r>
      <w:r>
        <w:rPr>
          <w:rFonts w:ascii="Arial" w:cs="Arial" w:eastAsia="Arial" w:hAnsi="Arial"/>
          <w:sz w:val="18"/>
          <w:szCs w:val="18"/>
          <w:color w:val="auto"/>
        </w:rPr>
        <w:t>of this MD&amp;A.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Measures</w:t>
            </w:r>
          </w:p>
        </w:tc>
        <w:tc>
          <w:tcPr>
            <w:tcW w:w="3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Definition</w:t>
            </w:r>
          </w:p>
        </w:tc>
        <w:tc>
          <w:tcPr>
            <w:tcW w:w="57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88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profit</w:t>
            </w:r>
          </w:p>
        </w:tc>
        <w:tc>
          <w:tcPr>
            <w:tcW w:w="3640" w:type="dxa"/>
            <w:vAlign w:val="bottom"/>
          </w:tcPr>
          <w:p>
            <w:pPr>
              <w:ind w:left="360"/>
              <w:spacing w:after="0" w:line="195" w:lineRule="exact"/>
              <w:rPr>
                <w:sz w:val="20"/>
                <w:szCs w:val="20"/>
                <w:color w:val="auto"/>
              </w:rPr>
            </w:pPr>
            <w:r>
              <w:rPr>
                <w:rFonts w:ascii="Arial" w:cs="Arial" w:eastAsia="Arial" w:hAnsi="Arial"/>
                <w:sz w:val="18"/>
                <w:szCs w:val="18"/>
                <w:color w:val="auto"/>
              </w:rPr>
              <w:t>Gross   Profit   before:   (i)   non-Mining</w:t>
            </w:r>
          </w:p>
        </w:tc>
        <w:tc>
          <w:tcPr>
            <w:tcW w:w="32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400" w:type="dxa"/>
            <w:vAlign w:val="bottom"/>
          </w:tcPr>
          <w:p>
            <w:pPr>
              <w:ind w:left="140"/>
              <w:spacing w:after="0" w:line="195" w:lineRule="exact"/>
              <w:rPr>
                <w:sz w:val="20"/>
                <w:szCs w:val="20"/>
                <w:color w:val="auto"/>
              </w:rPr>
            </w:pPr>
            <w:r>
              <w:rPr>
                <w:rFonts w:ascii="Arial" w:cs="Arial" w:eastAsia="Arial" w:hAnsi="Arial"/>
                <w:sz w:val="18"/>
                <w:szCs w:val="18"/>
                <w:color w:val="auto"/>
                <w:w w:val="95"/>
              </w:rPr>
              <w:t>To assess profitability after power costs in cryptocurrency production</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3"/>
              </w:rPr>
              <w:t>revenues; (ii) depreciation and amortization;</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9"/>
              </w:rPr>
              <w:t>and other infrastructure costs. Power costs are the largest variable</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6"/>
              </w:rPr>
              <w:t>(iii) purchase of electrical components and</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expense in Mining.</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4"/>
              </w:rPr>
              <w:t>other expenses; and (iv) electrician salaries</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ind w:left="140"/>
              <w:spacing w:after="0"/>
              <w:rPr>
                <w:sz w:val="20"/>
                <w:szCs w:val="20"/>
                <w:color w:val="auto"/>
              </w:rPr>
            </w:pPr>
            <w:r>
              <w:rPr>
                <w:rFonts w:ascii="Arial" w:cs="Arial" w:eastAsia="Arial" w:hAnsi="Arial"/>
                <w:sz w:val="18"/>
                <w:szCs w:val="18"/>
                <w:color w:val="auto"/>
              </w:rPr>
              <w:t>To provide the users of the MD&amp;A the ability to assess the gross</w:t>
            </w:r>
          </w:p>
        </w:tc>
      </w:tr>
      <w:tr>
        <w:trPr>
          <w:trHeight w:val="230"/>
        </w:trPr>
        <w:tc>
          <w:tcPr>
            <w:tcW w:w="188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and payroll taxes.</w:t>
            </w:r>
          </w:p>
        </w:tc>
        <w:tc>
          <w:tcPr>
            <w:tcW w:w="32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profitability of the Company’s core digital asset Mining operations.</w:t>
            </w:r>
          </w:p>
        </w:tc>
      </w:tr>
      <w:tr>
        <w:trPr>
          <w:trHeight w:val="216"/>
        </w:trPr>
        <w:tc>
          <w:tcPr>
            <w:tcW w:w="18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r>
      <w:tr>
        <w:trPr>
          <w:trHeight w:val="195"/>
        </w:trPr>
        <w:tc>
          <w:tcPr>
            <w:tcW w:w="1880" w:type="dxa"/>
            <w:vAlign w:val="bottom"/>
          </w:tcPr>
          <w:p>
            <w:pPr>
              <w:spacing w:after="0" w:line="195" w:lineRule="exact"/>
              <w:rPr>
                <w:sz w:val="20"/>
                <w:szCs w:val="20"/>
                <w:color w:val="auto"/>
              </w:rPr>
            </w:pPr>
            <w:r>
              <w:rPr>
                <w:rFonts w:ascii="Arial" w:cs="Arial" w:eastAsia="Arial" w:hAnsi="Arial"/>
                <w:sz w:val="18"/>
                <w:szCs w:val="18"/>
                <w:b w:val="1"/>
                <w:bCs w:val="1"/>
                <w:color w:val="auto"/>
              </w:rPr>
              <w:t>EBITDA</w:t>
            </w:r>
          </w:p>
        </w:tc>
        <w:tc>
          <w:tcPr>
            <w:tcW w:w="3640" w:type="dxa"/>
            <w:vAlign w:val="bottom"/>
          </w:tcPr>
          <w:p>
            <w:pPr>
              <w:ind w:left="360"/>
              <w:spacing w:after="0" w:line="195" w:lineRule="exact"/>
              <w:rPr>
                <w:sz w:val="20"/>
                <w:szCs w:val="20"/>
                <w:color w:val="auto"/>
              </w:rPr>
            </w:pPr>
            <w:r>
              <w:rPr>
                <w:rFonts w:ascii="Arial" w:cs="Arial" w:eastAsia="Arial" w:hAnsi="Arial"/>
                <w:sz w:val="18"/>
                <w:szCs w:val="18"/>
                <w:color w:val="auto"/>
              </w:rPr>
              <w:t>Net  income  (loss)  before:  (i)  interest</w:t>
            </w:r>
          </w:p>
        </w:tc>
        <w:tc>
          <w:tcPr>
            <w:tcW w:w="32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400" w:type="dxa"/>
            <w:vAlign w:val="bottom"/>
          </w:tcPr>
          <w:p>
            <w:pPr>
              <w:ind w:left="140"/>
              <w:spacing w:after="0" w:line="195" w:lineRule="exact"/>
              <w:rPr>
                <w:sz w:val="20"/>
                <w:szCs w:val="20"/>
                <w:color w:val="auto"/>
              </w:rPr>
            </w:pPr>
            <w:r>
              <w:rPr>
                <w:rFonts w:ascii="Arial" w:cs="Arial" w:eastAsia="Arial" w:hAnsi="Arial"/>
                <w:sz w:val="18"/>
                <w:szCs w:val="18"/>
                <w:color w:val="auto"/>
                <w:w w:val="93"/>
              </w:rPr>
              <w:t>To assess profitability before the impact of different financing methods,</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8"/>
              </w:rPr>
              <w:t>expense; (ii) income tax expense; and (iii)</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income  taxes,  depreciation  of  capital  assets  and  amortization  of</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intangible assets.</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ind w:left="140"/>
              <w:spacing w:after="0"/>
              <w:rPr>
                <w:sz w:val="20"/>
                <w:szCs w:val="20"/>
                <w:color w:val="auto"/>
              </w:rPr>
            </w:pPr>
            <w:r>
              <w:rPr>
                <w:rFonts w:ascii="Arial" w:cs="Arial" w:eastAsia="Arial" w:hAnsi="Arial"/>
                <w:sz w:val="18"/>
                <w:szCs w:val="18"/>
                <w:color w:val="auto"/>
                <w:w w:val="94"/>
              </w:rPr>
              <w:t>To provide the users of the MD&amp;A with additional information to assist</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them in understanding components of its financial results, including a</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more  complete  understanding  of  factors  and  trends  affecting  the</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Company’s performance.</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ind w:left="140"/>
              <w:spacing w:after="0"/>
              <w:rPr>
                <w:sz w:val="20"/>
                <w:szCs w:val="20"/>
                <w:color w:val="auto"/>
              </w:rPr>
            </w:pPr>
            <w:r>
              <w:rPr>
                <w:rFonts w:ascii="Arial" w:cs="Arial" w:eastAsia="Arial" w:hAnsi="Arial"/>
                <w:sz w:val="18"/>
                <w:szCs w:val="18"/>
                <w:color w:val="auto"/>
                <w:w w:val="90"/>
              </w:rPr>
              <w:t>Used by management to facilitate comparisons of operating performance</w:t>
            </w:r>
          </w:p>
        </w:tc>
      </w:tr>
      <w:tr>
        <w:trPr>
          <w:trHeight w:val="216"/>
        </w:trPr>
        <w:tc>
          <w:tcPr>
            <w:tcW w:w="1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8"/>
              </w:rPr>
              <w:t>from period to period and to prepare annual operating budgets and</w:t>
            </w:r>
          </w:p>
        </w:tc>
      </w:tr>
      <w:tr>
        <w:trPr>
          <w:trHeight w:val="230"/>
        </w:trPr>
        <w:tc>
          <w:tcPr>
            <w:tcW w:w="18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forecasts.</w:t>
            </w:r>
          </w:p>
        </w:tc>
      </w:tr>
      <w:tr>
        <w:trPr>
          <w:trHeight w:val="195"/>
        </w:trPr>
        <w:tc>
          <w:tcPr>
            <w:tcW w:w="1880" w:type="dxa"/>
            <w:vAlign w:val="bottom"/>
          </w:tcPr>
          <w:p>
            <w:pPr>
              <w:spacing w:after="0" w:line="195" w:lineRule="exact"/>
              <w:rPr>
                <w:sz w:val="20"/>
                <w:szCs w:val="20"/>
                <w:color w:val="auto"/>
              </w:rPr>
            </w:pPr>
            <w:r>
              <w:rPr>
                <w:rFonts w:ascii="Arial" w:cs="Arial" w:eastAsia="Arial" w:hAnsi="Arial"/>
                <w:sz w:val="18"/>
                <w:szCs w:val="18"/>
                <w:b w:val="1"/>
                <w:bCs w:val="1"/>
                <w:color w:val="auto"/>
              </w:rPr>
              <w:t>Adjusted EBITDA</w:t>
            </w:r>
          </w:p>
        </w:tc>
        <w:tc>
          <w:tcPr>
            <w:tcW w:w="3640" w:type="dxa"/>
            <w:vAlign w:val="bottom"/>
          </w:tcPr>
          <w:p>
            <w:pPr>
              <w:ind w:left="360"/>
              <w:spacing w:after="0" w:line="195" w:lineRule="exact"/>
              <w:rPr>
                <w:sz w:val="20"/>
                <w:szCs w:val="20"/>
                <w:color w:val="auto"/>
              </w:rPr>
            </w:pPr>
            <w:r>
              <w:rPr>
                <w:rFonts w:ascii="Arial" w:cs="Arial" w:eastAsia="Arial" w:hAnsi="Arial"/>
                <w:sz w:val="18"/>
                <w:szCs w:val="18"/>
                <w:color w:val="auto"/>
                <w:w w:val="98"/>
              </w:rPr>
              <w:t>EBITDA  adjusted  to  exclude:  (i)  share-</w:t>
            </w:r>
          </w:p>
        </w:tc>
        <w:tc>
          <w:tcPr>
            <w:tcW w:w="32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400" w:type="dxa"/>
            <w:vAlign w:val="bottom"/>
          </w:tcPr>
          <w:p>
            <w:pPr>
              <w:ind w:left="140"/>
              <w:spacing w:after="0" w:line="195" w:lineRule="exact"/>
              <w:rPr>
                <w:sz w:val="20"/>
                <w:szCs w:val="20"/>
                <w:color w:val="auto"/>
              </w:rPr>
            </w:pPr>
            <w:r>
              <w:rPr>
                <w:rFonts w:ascii="Arial" w:cs="Arial" w:eastAsia="Arial" w:hAnsi="Arial"/>
                <w:sz w:val="18"/>
                <w:szCs w:val="18"/>
                <w:color w:val="auto"/>
                <w:w w:val="92"/>
              </w:rPr>
              <w:t>To assess profitability before the impact of all of the items in calculating</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based  payment;  (ii)  non-cash  finance</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EBITDA in addition to certain other non-cash expenses.</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1"/>
              </w:rPr>
              <w:t>expenses; (iii) asset impairment charges; (iv)</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To provide the users of the MD&amp;A a consistent comparable metric for</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realized gains or losses on disposition of</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6"/>
              </w:rPr>
              <w:t>profitability of the Company’s core performance across time periods.</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7"/>
              </w:rPr>
              <w:t>digital assets and (reversal of) revaluation</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ind w:left="140"/>
              <w:spacing w:after="0"/>
              <w:rPr>
                <w:sz w:val="20"/>
                <w:szCs w:val="20"/>
                <w:color w:val="auto"/>
              </w:rPr>
            </w:pPr>
            <w:r>
              <w:rPr>
                <w:rFonts w:ascii="Arial" w:cs="Arial" w:eastAsia="Arial" w:hAnsi="Arial"/>
                <w:sz w:val="18"/>
                <w:szCs w:val="18"/>
                <w:color w:val="auto"/>
                <w:w w:val="90"/>
              </w:rPr>
              <w:t>Used by management to facilitate comparisons of operating performance</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2"/>
              </w:rPr>
              <w:t>loss on digital assets; (v) gain on disposition</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8"/>
              </w:rPr>
              <w:t>from period to period and to prepare annual operating budgets and</w:t>
            </w:r>
          </w:p>
        </w:tc>
      </w:tr>
      <w:tr>
        <w:trPr>
          <w:trHeight w:val="216"/>
        </w:trPr>
        <w:tc>
          <w:tcPr>
            <w:tcW w:w="18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4"/>
              </w:rPr>
              <w:t>of marketable securities, gains or losses on</w:t>
            </w:r>
          </w:p>
        </w:tc>
        <w:tc>
          <w:tcPr>
            <w:tcW w:w="3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forecasts.</w:t>
            </w:r>
          </w:p>
        </w:tc>
      </w:tr>
      <w:tr>
        <w:trPr>
          <w:trHeight w:val="230"/>
        </w:trPr>
        <w:tc>
          <w:tcPr>
            <w:tcW w:w="188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w w:val="93"/>
              </w:rPr>
              <w:t>derivative assets and liabilities and discount</w:t>
            </w:r>
          </w:p>
        </w:tc>
        <w:tc>
          <w:tcPr>
            <w:tcW w:w="320" w:type="dxa"/>
            <w:vAlign w:val="bottom"/>
          </w:tcPr>
          <w:p>
            <w:pPr>
              <w:spacing w:after="0"/>
              <w:rPr>
                <w:sz w:val="20"/>
                <w:szCs w:val="20"/>
                <w:color w:val="auto"/>
              </w:rPr>
            </w:pPr>
          </w:p>
        </w:tc>
        <w:tc>
          <w:tcPr>
            <w:tcW w:w="5400" w:type="dxa"/>
            <w:vAlign w:val="bottom"/>
          </w:tcPr>
          <w:p>
            <w:pPr>
              <w:spacing w:after="0"/>
              <w:rPr>
                <w:sz w:val="20"/>
                <w:szCs w:val="20"/>
                <w:color w:val="auto"/>
              </w:rPr>
            </w:pPr>
          </w:p>
        </w:tc>
      </w:tr>
    </w:tbl>
    <w:p>
      <w:pPr>
        <w:ind w:left="2240"/>
        <w:spacing w:after="0"/>
        <w:rPr>
          <w:sz w:val="20"/>
          <w:szCs w:val="20"/>
          <w:color w:val="auto"/>
        </w:rPr>
      </w:pPr>
      <w:r>
        <w:rPr>
          <w:rFonts w:ascii="Arial" w:cs="Arial" w:eastAsia="Arial" w:hAnsi="Arial"/>
          <w:sz w:val="18"/>
          <w:szCs w:val="18"/>
          <w:color w:val="auto"/>
        </w:rPr>
        <w:t>expense on VAT receivable; (vi) loss on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currency  exchange;  and  (vii)  other  non-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recurring items that do not reflect the core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24  Page</w:t>
      </w:r>
    </w:p>
    <w:p>
      <w:pPr>
        <w:sectPr>
          <w:pgSz w:w="11900" w:h="16838" w:orient="portrait"/>
          <w:cols w:equalWidth="0" w:num="1">
            <w:col w:w="11240"/>
          </w:cols>
          <w:pgMar w:left="320" w:top="229" w:right="339"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Non-IFRS financial measures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Measures</w:t>
            </w:r>
          </w:p>
        </w:tc>
        <w:tc>
          <w:tcPr>
            <w:tcW w:w="38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Definition</w:t>
            </w: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740" w:type="dxa"/>
            <w:vAlign w:val="bottom"/>
          </w:tcPr>
          <w:p>
            <w:pPr>
              <w:spacing w:after="0" w:line="195" w:lineRule="exact"/>
              <w:rPr>
                <w:sz w:val="20"/>
                <w:szCs w:val="20"/>
                <w:color w:val="auto"/>
              </w:rPr>
            </w:pPr>
            <w:r>
              <w:rPr>
                <w:rFonts w:ascii="Arial" w:cs="Arial" w:eastAsia="Arial" w:hAnsi="Arial"/>
                <w:sz w:val="18"/>
                <w:szCs w:val="18"/>
                <w:b w:val="1"/>
                <w:bCs w:val="1"/>
                <w:color w:val="auto"/>
              </w:rPr>
              <w:t>Direct Cost</w:t>
            </w:r>
          </w:p>
        </w:tc>
        <w:tc>
          <w:tcPr>
            <w:tcW w:w="3840" w:type="dxa"/>
            <w:vAlign w:val="bottom"/>
          </w:tcPr>
          <w:p>
            <w:pPr>
              <w:ind w:left="520"/>
              <w:spacing w:after="0" w:line="195" w:lineRule="exact"/>
              <w:rPr>
                <w:sz w:val="20"/>
                <w:szCs w:val="20"/>
                <w:color w:val="auto"/>
              </w:rPr>
            </w:pPr>
            <w:r>
              <w:rPr>
                <w:rFonts w:ascii="Arial" w:cs="Arial" w:eastAsia="Arial" w:hAnsi="Arial"/>
                <w:sz w:val="18"/>
                <w:szCs w:val="18"/>
                <w:color w:val="auto"/>
                <w:w w:val="92"/>
              </w:rPr>
              <w:t>Cost of revenues before: (i) depreciation and</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91"/>
              </w:rPr>
              <w:t>To assess the Company’s power costs, the largest variable expense in</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9"/>
              </w:rPr>
              <w:t>amortization;  (ii)  purchases  of  electrical</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Mining.</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7"/>
              </w:rPr>
              <w:t>components;  (iii)  electrician  salaries  and</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2"/>
              </w:rPr>
              <w:t>To provide the users of the MD&amp;A a metric to evaluate the Company’s</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payroll taxes; (iv) infrastructure; and (v)</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4"/>
              </w:rPr>
              <w:t>direct variable cost for its core digital asset Mining operations across</w:t>
            </w:r>
          </w:p>
        </w:tc>
      </w:tr>
      <w:tr>
        <w:trPr>
          <w:trHeight w:val="229"/>
        </w:trPr>
        <w:tc>
          <w:tcPr>
            <w:tcW w:w="1740" w:type="dxa"/>
            <w:vAlign w:val="bottom"/>
          </w:tcPr>
          <w:p>
            <w:pPr>
              <w:spacing w:after="0"/>
              <w:rPr>
                <w:sz w:val="19"/>
                <w:szCs w:val="19"/>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other direct expenses.</w:t>
            </w:r>
          </w:p>
        </w:tc>
        <w:tc>
          <w:tcPr>
            <w:tcW w:w="34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time periods.</w:t>
            </w:r>
          </w:p>
        </w:tc>
      </w:tr>
      <w:tr>
        <w:trPr>
          <w:trHeight w:val="216"/>
        </w:trPr>
        <w:tc>
          <w:tcPr>
            <w:tcW w:w="1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0"/>
              </w:rPr>
              <w:t>Used by management to assess the operating performance from period</w:t>
            </w:r>
          </w:p>
        </w:tc>
      </w:tr>
      <w:tr>
        <w:trPr>
          <w:trHeight w:val="230"/>
        </w:trPr>
        <w:tc>
          <w:tcPr>
            <w:tcW w:w="17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to period and to prepare annual operating budgets and forecasts.</w:t>
            </w:r>
          </w:p>
        </w:tc>
      </w:tr>
      <w:tr>
        <w:trPr>
          <w:trHeight w:val="195"/>
        </w:trPr>
        <w:tc>
          <w:tcPr>
            <w:tcW w:w="1740" w:type="dxa"/>
            <w:vAlign w:val="bottom"/>
          </w:tcPr>
          <w:p>
            <w:pPr>
              <w:spacing w:after="0" w:line="195" w:lineRule="exact"/>
              <w:rPr>
                <w:sz w:val="20"/>
                <w:szCs w:val="20"/>
                <w:color w:val="auto"/>
              </w:rPr>
            </w:pPr>
            <w:r>
              <w:rPr>
                <w:rFonts w:ascii="Arial" w:cs="Arial" w:eastAsia="Arial" w:hAnsi="Arial"/>
                <w:sz w:val="18"/>
                <w:szCs w:val="18"/>
                <w:b w:val="1"/>
                <w:bCs w:val="1"/>
                <w:color w:val="auto"/>
              </w:rPr>
              <w:t>Total Cash Cost</w:t>
            </w:r>
          </w:p>
        </w:tc>
        <w:tc>
          <w:tcPr>
            <w:tcW w:w="3840" w:type="dxa"/>
            <w:vAlign w:val="bottom"/>
          </w:tcPr>
          <w:p>
            <w:pPr>
              <w:ind w:left="520"/>
              <w:spacing w:after="0" w:line="195" w:lineRule="exact"/>
              <w:rPr>
                <w:sz w:val="20"/>
                <w:szCs w:val="20"/>
                <w:color w:val="auto"/>
              </w:rPr>
            </w:pPr>
            <w:r>
              <w:rPr>
                <w:rFonts w:ascii="Arial" w:cs="Arial" w:eastAsia="Arial" w:hAnsi="Arial"/>
                <w:sz w:val="18"/>
                <w:szCs w:val="18"/>
                <w:color w:val="auto"/>
                <w:w w:val="99"/>
              </w:rPr>
              <w:t>Net  (income)  loss  before  income  taxes</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89"/>
              </w:rPr>
              <w:t>To assess the total cash cost of the Company’s core digital asset Mining</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before: (i) revenues; (ii) depreciation and</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operations.</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8"/>
              </w:rPr>
              <w:t>amortization;  (iii)  purchases  of  electrical</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3"/>
              </w:rPr>
              <w:t>To provide the users of the MD&amp;A a consistent comparable metric for</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6"/>
              </w:rPr>
              <w:t>components;  (iv)  electrician  salaries  and</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8"/>
              </w:rPr>
              <w:t>the liquidity impact of the Company’s mining activities across time</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5"/>
              </w:rPr>
              <w:t>payroll taxes; (v) share-based payment; (vi)</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periods.</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realized gains or losses on disposition of</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0"/>
              </w:rPr>
              <w:t>Used by management to assess the operating performance from period</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7"/>
              </w:rPr>
              <w:t>digital assets; (vii) (reversal of) revaluation</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9"/>
              </w:rPr>
              <w:t>to period and to prepare annual operating budgets and forecasts.</w:t>
            </w:r>
          </w:p>
        </w:tc>
      </w:tr>
      <w:tr>
        <w:trPr>
          <w:trHeight w:val="216"/>
        </w:trPr>
        <w:tc>
          <w:tcPr>
            <w:tcW w:w="17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3"/>
              </w:rPr>
              <w:t>loss on digital assets; (viii) asset impairment</w:t>
            </w:r>
          </w:p>
        </w:tc>
        <w:tc>
          <w:tcPr>
            <w:tcW w:w="340" w:type="dxa"/>
            <w:vAlign w:val="bottom"/>
          </w:tcPr>
          <w:p>
            <w:pPr>
              <w:spacing w:after="0"/>
              <w:rPr>
                <w:sz w:val="18"/>
                <w:szCs w:val="18"/>
                <w:color w:val="auto"/>
              </w:rPr>
            </w:pPr>
          </w:p>
        </w:tc>
        <w:tc>
          <w:tcPr>
            <w:tcW w:w="53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97"/>
              </w:rPr>
              <w:t>charges; (ix) net financial income; (x) other</w:t>
            </w:r>
          </w:p>
        </w:tc>
        <w:tc>
          <w:tcPr>
            <w:tcW w:w="340" w:type="dxa"/>
            <w:vAlign w:val="bottom"/>
          </w:tcPr>
          <w:p>
            <w:pPr>
              <w:spacing w:after="0"/>
              <w:rPr>
                <w:sz w:val="20"/>
                <w:szCs w:val="20"/>
                <w:color w:val="auto"/>
              </w:rPr>
            </w:pPr>
          </w:p>
        </w:tc>
        <w:tc>
          <w:tcPr>
            <w:tcW w:w="5320" w:type="dxa"/>
            <w:vAlign w:val="bottom"/>
          </w:tcPr>
          <w:p>
            <w:pPr>
              <w:spacing w:after="0"/>
              <w:rPr>
                <w:sz w:val="20"/>
                <w:szCs w:val="20"/>
                <w:color w:val="auto"/>
              </w:rPr>
            </w:pPr>
          </w:p>
        </w:tc>
      </w:tr>
    </w:tbl>
    <w:p>
      <w:pPr>
        <w:ind w:left="2260"/>
        <w:spacing w:after="0"/>
        <w:rPr>
          <w:sz w:val="20"/>
          <w:szCs w:val="20"/>
          <w:color w:val="auto"/>
        </w:rPr>
      </w:pPr>
      <w:r>
        <w:rPr>
          <w:rFonts w:ascii="Arial" w:cs="Arial" w:eastAsia="Arial" w:hAnsi="Arial"/>
          <w:sz w:val="18"/>
          <w:szCs w:val="18"/>
          <w:color w:val="auto"/>
        </w:rPr>
        <w:t>direct expenses; and (xi) other non-recurring</w:t>
      </w:r>
    </w:p>
    <w:p>
      <w:pPr>
        <w:spacing w:after="0" w:line="9" w:lineRule="exact"/>
        <w:rPr>
          <w:sz w:val="20"/>
          <w:szCs w:val="20"/>
          <w:color w:val="auto"/>
        </w:rPr>
      </w:pPr>
    </w:p>
    <w:p>
      <w:pPr>
        <w:ind w:left="2260"/>
        <w:spacing w:after="0"/>
        <w:tabs>
          <w:tab w:leader="none" w:pos="2840" w:val="left"/>
          <w:tab w:leader="none" w:pos="3300" w:val="left"/>
          <w:tab w:leader="none" w:pos="3680" w:val="left"/>
          <w:tab w:leader="none" w:pos="4120" w:val="left"/>
          <w:tab w:leader="none" w:pos="4780" w:val="left"/>
          <w:tab w:leader="none" w:pos="5200" w:val="left"/>
        </w:tabs>
        <w:rPr>
          <w:sz w:val="20"/>
          <w:szCs w:val="20"/>
          <w:color w:val="auto"/>
        </w:rPr>
      </w:pPr>
      <w:r>
        <w:rPr>
          <w:rFonts w:ascii="Arial" w:cs="Arial" w:eastAsia="Arial" w:hAnsi="Arial"/>
          <w:sz w:val="18"/>
          <w:szCs w:val="18"/>
          <w:color w:val="auto"/>
        </w:rPr>
        <w:t>items</w:t>
        <w:tab/>
        <w:t>that</w:t>
        <w:tab/>
        <w:t>do</w:t>
        <w:tab/>
        <w:t>not</w:t>
        <w:tab/>
        <w:t>reflect</w:t>
        <w:tab/>
        <w:t>the</w:t>
      </w:r>
      <w:r>
        <w:rPr>
          <w:sz w:val="20"/>
          <w:szCs w:val="20"/>
          <w:color w:val="auto"/>
        </w:rPr>
        <w:tab/>
      </w:r>
      <w:r>
        <w:rPr>
          <w:rFonts w:ascii="Arial" w:cs="Arial" w:eastAsia="Arial" w:hAnsi="Arial"/>
          <w:sz w:val="15"/>
          <w:szCs w:val="15"/>
          <w:color w:val="auto"/>
        </w:rPr>
        <w:t>core</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25  Page</w:t>
      </w:r>
    </w:p>
    <w:p>
      <w:pPr>
        <w:sectPr>
          <w:pgSz w:w="11900" w:h="16838" w:orient="portrait"/>
          <w:cols w:equalWidth="0" w:num="1">
            <w:col w:w="11240"/>
          </w:cols>
          <w:pgMar w:left="320" w:top="229" w:right="339"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ratios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36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Definition</w:t>
            </w: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margin</w:t>
            </w:r>
          </w:p>
        </w:tc>
        <w:tc>
          <w:tcPr>
            <w:tcW w:w="362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93"/>
              </w:rPr>
              <w:t>To assess profitability after power costs in cryptocurrency production,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20" w:type="dxa"/>
            <w:vAlign w:val="bottom"/>
          </w:tcPr>
          <w:p>
            <w:pPr>
              <w:ind w:left="300"/>
              <w:spacing w:after="0"/>
              <w:rPr>
                <w:sz w:val="20"/>
                <w:szCs w:val="20"/>
                <w:color w:val="auto"/>
              </w:rPr>
            </w:pPr>
            <w:r>
              <w:rPr>
                <w:rFonts w:ascii="Arial" w:cs="Arial" w:eastAsia="Arial" w:hAnsi="Arial"/>
                <w:sz w:val="18"/>
                <w:szCs w:val="18"/>
                <w:color w:val="auto"/>
              </w:rPr>
              <w:t>Gross  Mining  profit  by  Mining  related</w:t>
            </w: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the largest variable expense in Mining.</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620" w:type="dxa"/>
            <w:vAlign w:val="bottom"/>
          </w:tcPr>
          <w:p>
            <w:pPr>
              <w:ind w:left="300"/>
              <w:spacing w:after="0"/>
              <w:rPr>
                <w:sz w:val="20"/>
                <w:szCs w:val="20"/>
                <w:color w:val="auto"/>
              </w:rPr>
            </w:pPr>
            <w:r>
              <w:rPr>
                <w:rFonts w:ascii="Arial" w:cs="Arial" w:eastAsia="Arial" w:hAnsi="Arial"/>
                <w:sz w:val="18"/>
                <w:szCs w:val="18"/>
                <w:color w:val="auto"/>
              </w:rPr>
              <w:t>revenues.</w:t>
            </w:r>
          </w:p>
        </w:tc>
        <w:tc>
          <w:tcPr>
            <w:tcW w:w="3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320" w:type="dxa"/>
            <w:vAlign w:val="bottom"/>
            <w:vMerge w:val="restart"/>
          </w:tcPr>
          <w:p>
            <w:pPr>
              <w:ind w:left="160"/>
              <w:spacing w:after="0"/>
              <w:rPr>
                <w:sz w:val="20"/>
                <w:szCs w:val="20"/>
                <w:color w:val="auto"/>
              </w:rPr>
            </w:pPr>
            <w:r>
              <w:rPr>
                <w:rFonts w:ascii="Arial" w:cs="Arial" w:eastAsia="Arial" w:hAnsi="Arial"/>
                <w:sz w:val="18"/>
                <w:szCs w:val="18"/>
                <w:color w:val="auto"/>
                <w:w w:val="92"/>
              </w:rPr>
              <w:t>To provide the users of the MD&amp;A the ability to assess the profitability</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6"/>
              </w:rPr>
              <w:t>of the Company’s core digital asset Mining operations, exclusive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certain general and administrative expenses.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1" w:lineRule="exact"/>
        <w:rPr>
          <w:sz w:val="20"/>
          <w:szCs w:val="20"/>
          <w:color w:val="auto"/>
        </w:rPr>
      </w:pPr>
    </w:p>
    <w:p>
      <w:pPr>
        <w:spacing w:after="0"/>
        <w:tabs>
          <w:tab w:leader="none" w:pos="2240" w:val="left"/>
          <w:tab w:leader="none" w:pos="2680" w:val="left"/>
          <w:tab w:leader="none" w:pos="3600" w:val="left"/>
          <w:tab w:leader="none" w:pos="4360" w:val="left"/>
          <w:tab w:leader="none" w:pos="4900" w:val="left"/>
        </w:tabs>
        <w:rPr>
          <w:sz w:val="20"/>
          <w:szCs w:val="20"/>
          <w:color w:val="auto"/>
        </w:rPr>
      </w:pPr>
      <w:r>
        <w:rPr>
          <w:rFonts w:ascii="Arial" w:cs="Arial" w:eastAsia="Arial" w:hAnsi="Arial"/>
          <w:sz w:val="18"/>
          <w:szCs w:val="18"/>
          <w:b w:val="1"/>
          <w:bCs w:val="1"/>
          <w:color w:val="auto"/>
        </w:rPr>
        <w:t>EBITDA margin</w:t>
      </w:r>
      <w:r>
        <w:rPr>
          <w:sz w:val="20"/>
          <w:szCs w:val="20"/>
          <w:color w:val="auto"/>
        </w:rPr>
        <w:tab/>
      </w:r>
      <w:r>
        <w:rPr>
          <w:rFonts w:ascii="Arial" w:cs="Arial" w:eastAsia="Arial" w:hAnsi="Arial"/>
          <w:sz w:val="18"/>
          <w:szCs w:val="18"/>
          <w:color w:val="auto"/>
        </w:rPr>
        <w:t>The</w:t>
        <w:tab/>
        <w:t>percentage</w:t>
        <w:tab/>
        <w:t>obtained</w:t>
        <w:tab/>
        <w:t>when</w:t>
        <w:tab/>
        <w:t>dividing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EBITDA by Revenues.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To assess profitability before the impact of different financing methods, income taxes, depreciation of capital assets and amortization of intangible assets.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Used by management to facilitate comparisons of operating performance from period to period and to prepare annual operating budgets and forecasts.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196" w:lineRule="exact"/>
        <w:rPr>
          <w:sz w:val="20"/>
          <w:szCs w:val="20"/>
          <w:color w:val="auto"/>
        </w:rPr>
      </w:pPr>
    </w:p>
    <w:p>
      <w:pPr>
        <w:sectPr>
          <w:pgSz w:w="11900" w:h="16838" w:orient="portrait"/>
          <w:cols w:equalWidth="0" w:num="2">
            <w:col w:w="5740" w:space="340"/>
            <w:col w:w="5160"/>
          </w:cols>
          <w:pgMar w:left="320" w:top="229" w:right="339" w:bottom="1440" w:gutter="0" w:footer="0" w:header="0"/>
          <w:type w:val="continuous"/>
        </w:sectPr>
      </w:pPr>
    </w:p>
    <w:p>
      <w:pPr>
        <w:spacing w:after="0"/>
        <w:tabs>
          <w:tab w:leader="none" w:pos="2240" w:val="left"/>
          <w:tab w:leader="none" w:pos="2680" w:val="left"/>
          <w:tab w:leader="none" w:pos="3600" w:val="left"/>
          <w:tab w:leader="none" w:pos="4360" w:val="left"/>
          <w:tab w:leader="none" w:pos="4900" w:val="left"/>
        </w:tabs>
        <w:rPr>
          <w:sz w:val="20"/>
          <w:szCs w:val="20"/>
          <w:color w:val="auto"/>
        </w:rPr>
      </w:pPr>
      <w:r>
        <w:rPr>
          <w:rFonts w:ascii="Arial" w:cs="Arial" w:eastAsia="Arial" w:hAnsi="Arial"/>
          <w:sz w:val="18"/>
          <w:szCs w:val="18"/>
          <w:b w:val="1"/>
          <w:bCs w:val="1"/>
          <w:color w:val="auto"/>
        </w:rPr>
        <w:t>Adjusted EBITDA</w:t>
      </w:r>
      <w:r>
        <w:rPr>
          <w:sz w:val="20"/>
          <w:szCs w:val="20"/>
          <w:color w:val="auto"/>
        </w:rPr>
        <w:tab/>
      </w:r>
      <w:r>
        <w:rPr>
          <w:rFonts w:ascii="Arial" w:cs="Arial" w:eastAsia="Arial" w:hAnsi="Arial"/>
          <w:sz w:val="18"/>
          <w:szCs w:val="18"/>
          <w:color w:val="auto"/>
        </w:rPr>
        <w:t>The</w:t>
        <w:tab/>
        <w:t>percentage</w:t>
        <w:tab/>
        <w:t>obtained</w:t>
        <w:tab/>
        <w:t>when</w:t>
        <w:tab/>
        <w:t>dividing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b w:val="1"/>
          <w:bCs w:val="1"/>
          <w:color w:val="auto"/>
        </w:rPr>
        <w:t>margin</w:t>
      </w:r>
      <w:r>
        <w:rPr>
          <w:sz w:val="20"/>
          <w:szCs w:val="20"/>
          <w:color w:val="auto"/>
        </w:rPr>
        <w:tab/>
      </w:r>
      <w:r>
        <w:rPr>
          <w:rFonts w:ascii="Arial" w:cs="Arial" w:eastAsia="Arial" w:hAnsi="Arial"/>
          <w:sz w:val="18"/>
          <w:szCs w:val="18"/>
          <w:color w:val="auto"/>
        </w:rPr>
        <w:t>Adjusted EBITDA by Revenues.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Arial" w:cs="Arial" w:eastAsia="Arial" w:hAnsi="Arial"/>
          <w:sz w:val="17"/>
          <w:szCs w:val="17"/>
          <w:color w:val="auto"/>
        </w:rPr>
        <w:t>To assess profitability before the impact of all of the items in calculating EBITDA in addition to certain other non-cash expenses.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a consistent comparable metric for profitability of the Company’s core performance across time periods.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Used by management to facilitate comparisons of operating performance from period to period and to prepare annual operating budgets and forecasts.</w:t>
      </w:r>
    </w:p>
    <w:p>
      <w:pPr>
        <w:spacing w:after="0" w:line="200" w:lineRule="exact"/>
        <w:rPr>
          <w:sz w:val="20"/>
          <w:szCs w:val="20"/>
          <w:color w:val="auto"/>
        </w:rPr>
      </w:pPr>
    </w:p>
    <w:p>
      <w:pPr>
        <w:sectPr>
          <w:pgSz w:w="11900" w:h="16838" w:orient="portrait"/>
          <w:cols w:equalWidth="0" w:num="2">
            <w:col w:w="5740" w:space="340"/>
            <w:col w:w="5160"/>
          </w:cols>
          <w:pgMar w:left="320" w:top="229" w:right="339" w:bottom="1440" w:gutter="0" w:footer="0" w:header="0"/>
          <w:type w:val="continuous"/>
        </w:sectPr>
      </w:pPr>
    </w:p>
    <w:p>
      <w:pPr>
        <w:spacing w:after="0" w:line="240"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26  Page</w:t>
      </w:r>
    </w:p>
    <w:p>
      <w:pPr>
        <w:sectPr>
          <w:pgSz w:w="11900" w:h="16838" w:orient="portrait"/>
          <w:cols w:equalWidth="0" w:num="1">
            <w:col w:w="11240"/>
          </w:cols>
          <w:pgMar w:left="320" w:top="229" w:right="339"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Non-IFRS financial ratios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34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Definition</w:t>
            </w: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2100" w:type="dxa"/>
            <w:vAlign w:val="bottom"/>
          </w:tcPr>
          <w:p>
            <w:pPr>
              <w:spacing w:after="0" w:line="195" w:lineRule="exact"/>
              <w:rPr>
                <w:sz w:val="20"/>
                <w:szCs w:val="20"/>
                <w:color w:val="auto"/>
              </w:rPr>
            </w:pPr>
            <w:r>
              <w:rPr>
                <w:rFonts w:ascii="Arial" w:cs="Arial" w:eastAsia="Arial" w:hAnsi="Arial"/>
                <w:sz w:val="18"/>
                <w:szCs w:val="18"/>
                <w:b w:val="1"/>
                <w:bCs w:val="1"/>
                <w:color w:val="auto"/>
              </w:rPr>
              <w:t>Direct Cost per BTC</w:t>
            </w:r>
          </w:p>
        </w:tc>
        <w:tc>
          <w:tcPr>
            <w:tcW w:w="3480" w:type="dxa"/>
            <w:vAlign w:val="bottom"/>
          </w:tcPr>
          <w:p>
            <w:pPr>
              <w:ind w:left="160"/>
              <w:spacing w:after="0" w:line="195" w:lineRule="exact"/>
              <w:rPr>
                <w:sz w:val="20"/>
                <w:szCs w:val="20"/>
                <w:color w:val="auto"/>
              </w:rPr>
            </w:pPr>
            <w:r>
              <w:rPr>
                <w:rFonts w:ascii="Arial" w:cs="Arial" w:eastAsia="Arial" w:hAnsi="Arial"/>
                <w:sz w:val="18"/>
                <w:szCs w:val="18"/>
                <w:color w:val="auto"/>
                <w:w w:val="98"/>
              </w:rPr>
              <w:t>The amount obtained when dividing Direct</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91"/>
              </w:rPr>
              <w:t>To assess the Company’s power costs, the largest variable expense in</w:t>
            </w:r>
          </w:p>
        </w:tc>
      </w:tr>
      <w:tr>
        <w:trPr>
          <w:trHeight w:val="230"/>
        </w:trPr>
        <w:tc>
          <w:tcPr>
            <w:tcW w:w="210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Cost by the quantity of BTC earned.</w:t>
            </w:r>
          </w:p>
        </w:tc>
        <w:tc>
          <w:tcPr>
            <w:tcW w:w="34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Mining.</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2"/>
              </w:rPr>
              <w:t>To provide the users of the MD&amp;A a metric to evaluate the Company’s</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4"/>
              </w:rPr>
              <w:t>direct variable cost for its core digital asset Mining operations across</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time periods.</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0"/>
              </w:rPr>
              <w:t>Used by management to assess the operating performance from period</w:t>
            </w:r>
          </w:p>
        </w:tc>
      </w:tr>
      <w:tr>
        <w:trPr>
          <w:trHeight w:val="230"/>
        </w:trPr>
        <w:tc>
          <w:tcPr>
            <w:tcW w:w="2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to period and to prepare annual operating budgets and forecasts.</w:t>
            </w:r>
          </w:p>
        </w:tc>
      </w:tr>
      <w:tr>
        <w:trPr>
          <w:trHeight w:val="195"/>
        </w:trPr>
        <w:tc>
          <w:tcPr>
            <w:tcW w:w="210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Total Cash Cost per BTC</w:t>
            </w:r>
          </w:p>
        </w:tc>
        <w:tc>
          <w:tcPr>
            <w:tcW w:w="3480" w:type="dxa"/>
            <w:vAlign w:val="bottom"/>
          </w:tcPr>
          <w:p>
            <w:pPr>
              <w:ind w:left="160"/>
              <w:spacing w:after="0" w:line="195" w:lineRule="exact"/>
              <w:rPr>
                <w:sz w:val="20"/>
                <w:szCs w:val="20"/>
                <w:color w:val="auto"/>
              </w:rPr>
            </w:pPr>
            <w:r>
              <w:rPr>
                <w:rFonts w:ascii="Arial" w:cs="Arial" w:eastAsia="Arial" w:hAnsi="Arial"/>
                <w:sz w:val="18"/>
                <w:szCs w:val="18"/>
                <w:color w:val="auto"/>
              </w:rPr>
              <w:t>The amount obtained when dividing Total</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89"/>
              </w:rPr>
              <w:t>To assess the total cash cost of the Company’s core digital asset Mining</w:t>
            </w:r>
          </w:p>
        </w:tc>
      </w:tr>
      <w:tr>
        <w:trPr>
          <w:trHeight w:val="229"/>
        </w:trPr>
        <w:tc>
          <w:tcPr>
            <w:tcW w:w="210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Cash cost by the quantity of BTC earned.</w:t>
            </w:r>
          </w:p>
        </w:tc>
        <w:tc>
          <w:tcPr>
            <w:tcW w:w="34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operations.</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3"/>
              </w:rPr>
              <w:t>To provide the users of the MD&amp;A a consistent comparable metric for</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8"/>
              </w:rPr>
              <w:t>the liquidity impact of the Company’s mining activities across time</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periods.</w:t>
            </w:r>
          </w:p>
        </w:tc>
      </w:tr>
      <w:tr>
        <w:trPr>
          <w:trHeight w:val="216"/>
        </w:trPr>
        <w:tc>
          <w:tcPr>
            <w:tcW w:w="2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20" w:type="dxa"/>
            <w:vAlign w:val="bottom"/>
          </w:tcPr>
          <w:p>
            <w:pPr>
              <w:ind w:left="160"/>
              <w:spacing w:after="0"/>
              <w:rPr>
                <w:sz w:val="20"/>
                <w:szCs w:val="20"/>
                <w:color w:val="auto"/>
              </w:rPr>
            </w:pPr>
            <w:r>
              <w:rPr>
                <w:rFonts w:ascii="Arial" w:cs="Arial" w:eastAsia="Arial" w:hAnsi="Arial"/>
                <w:sz w:val="18"/>
                <w:szCs w:val="18"/>
                <w:color w:val="auto"/>
                <w:w w:val="90"/>
              </w:rPr>
              <w:t>Used by management to assess the operating performance from period</w:t>
            </w:r>
          </w:p>
        </w:tc>
      </w:tr>
      <w:tr>
        <w:trPr>
          <w:trHeight w:val="230"/>
        </w:trPr>
        <w:tc>
          <w:tcPr>
            <w:tcW w:w="2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to period and to prepare annual operating budgets and forecasts.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following supplemental financial ratios in assessing operating performance.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170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Definition</w:t>
            </w:r>
          </w:p>
        </w:tc>
        <w:tc>
          <w:tcPr>
            <w:tcW w:w="7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b w:val="1"/>
                <w:bCs w:val="1"/>
                <w:color w:val="auto"/>
              </w:rPr>
              <w:t>Gross margin</w:t>
            </w:r>
          </w:p>
        </w:tc>
        <w:tc>
          <w:tcPr>
            <w:tcW w:w="780" w:type="dxa"/>
            <w:vAlign w:val="bottom"/>
          </w:tcPr>
          <w:p>
            <w:pPr>
              <w:ind w:left="420"/>
              <w:spacing w:after="0" w:line="195" w:lineRule="exact"/>
              <w:rPr>
                <w:sz w:val="20"/>
                <w:szCs w:val="20"/>
                <w:color w:val="auto"/>
              </w:rPr>
            </w:pPr>
            <w:r>
              <w:rPr>
                <w:rFonts w:ascii="Arial" w:cs="Arial" w:eastAsia="Arial" w:hAnsi="Arial"/>
                <w:sz w:val="18"/>
                <w:szCs w:val="18"/>
                <w:color w:val="auto"/>
              </w:rPr>
              <w:t>The</w:t>
            </w:r>
          </w:p>
        </w:tc>
        <w:tc>
          <w:tcPr>
            <w:tcW w:w="920" w:type="dxa"/>
            <w:vAlign w:val="bottom"/>
          </w:tcPr>
          <w:p>
            <w:pPr>
              <w:ind w:left="80"/>
              <w:spacing w:after="0" w:line="195" w:lineRule="exact"/>
              <w:rPr>
                <w:sz w:val="20"/>
                <w:szCs w:val="20"/>
                <w:color w:val="auto"/>
              </w:rPr>
            </w:pPr>
            <w:r>
              <w:rPr>
                <w:rFonts w:ascii="Arial" w:cs="Arial" w:eastAsia="Arial" w:hAnsi="Arial"/>
                <w:sz w:val="18"/>
                <w:szCs w:val="18"/>
                <w:color w:val="auto"/>
                <w:w w:val="91"/>
              </w:rPr>
              <w:t>percentage</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w w:val="98"/>
              </w:rPr>
              <w:t>obtained</w:t>
            </w:r>
          </w:p>
        </w:tc>
        <w:tc>
          <w:tcPr>
            <w:tcW w:w="540" w:type="dxa"/>
            <w:vAlign w:val="bottom"/>
          </w:tcPr>
          <w:p>
            <w:pPr>
              <w:ind w:left="60"/>
              <w:spacing w:after="0" w:line="195" w:lineRule="exact"/>
              <w:rPr>
                <w:sz w:val="20"/>
                <w:szCs w:val="20"/>
                <w:color w:val="auto"/>
              </w:rPr>
            </w:pPr>
            <w:r>
              <w:rPr>
                <w:rFonts w:ascii="Arial" w:cs="Arial" w:eastAsia="Arial" w:hAnsi="Arial"/>
                <w:sz w:val="18"/>
                <w:szCs w:val="18"/>
                <w:color w:val="auto"/>
              </w:rPr>
              <w:t>when</w:t>
            </w:r>
          </w:p>
        </w:tc>
        <w:tc>
          <w:tcPr>
            <w:tcW w:w="720" w:type="dxa"/>
            <w:vAlign w:val="bottom"/>
          </w:tcPr>
          <w:p>
            <w:pPr>
              <w:ind w:left="60"/>
              <w:spacing w:after="0" w:line="195" w:lineRule="exact"/>
              <w:rPr>
                <w:sz w:val="20"/>
                <w:szCs w:val="20"/>
                <w:color w:val="auto"/>
              </w:rPr>
            </w:pPr>
            <w:r>
              <w:rPr>
                <w:rFonts w:ascii="Arial" w:cs="Arial" w:eastAsia="Arial" w:hAnsi="Arial"/>
                <w:sz w:val="18"/>
                <w:szCs w:val="18"/>
                <w:color w:val="auto"/>
              </w:rPr>
              <w:t>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rPr>
              <w:t>To assess profitability of the Company across time periods.</w:t>
            </w:r>
          </w:p>
        </w:tc>
      </w:tr>
      <w:tr>
        <w:trPr>
          <w:trHeight w:val="230"/>
        </w:trPr>
        <w:tc>
          <w:tcPr>
            <w:tcW w:w="1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w w:val="98"/>
              </w:rPr>
              <w:t>Gross profit by Revenues.</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margin</w:t>
            </w:r>
          </w:p>
        </w:tc>
        <w:tc>
          <w:tcPr>
            <w:tcW w:w="780" w:type="dxa"/>
            <w:vAlign w:val="bottom"/>
          </w:tcPr>
          <w:p>
            <w:pPr>
              <w:ind w:left="420"/>
              <w:spacing w:after="0" w:line="195" w:lineRule="exact"/>
              <w:rPr>
                <w:sz w:val="20"/>
                <w:szCs w:val="20"/>
                <w:color w:val="auto"/>
              </w:rPr>
            </w:pPr>
            <w:r>
              <w:rPr>
                <w:rFonts w:ascii="Arial" w:cs="Arial" w:eastAsia="Arial" w:hAnsi="Arial"/>
                <w:sz w:val="18"/>
                <w:szCs w:val="18"/>
                <w:color w:val="auto"/>
              </w:rPr>
              <w:t>The</w:t>
            </w:r>
          </w:p>
        </w:tc>
        <w:tc>
          <w:tcPr>
            <w:tcW w:w="920" w:type="dxa"/>
            <w:vAlign w:val="bottom"/>
          </w:tcPr>
          <w:p>
            <w:pPr>
              <w:ind w:left="80"/>
              <w:spacing w:after="0" w:line="195" w:lineRule="exact"/>
              <w:rPr>
                <w:sz w:val="20"/>
                <w:szCs w:val="20"/>
                <w:color w:val="auto"/>
              </w:rPr>
            </w:pPr>
            <w:r>
              <w:rPr>
                <w:rFonts w:ascii="Arial" w:cs="Arial" w:eastAsia="Arial" w:hAnsi="Arial"/>
                <w:sz w:val="18"/>
                <w:szCs w:val="18"/>
                <w:color w:val="auto"/>
                <w:w w:val="91"/>
              </w:rPr>
              <w:t>percentage</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w w:val="98"/>
              </w:rPr>
              <w:t>obtained</w:t>
            </w:r>
          </w:p>
        </w:tc>
        <w:tc>
          <w:tcPr>
            <w:tcW w:w="540" w:type="dxa"/>
            <w:vAlign w:val="bottom"/>
          </w:tcPr>
          <w:p>
            <w:pPr>
              <w:ind w:left="60"/>
              <w:spacing w:after="0" w:line="195" w:lineRule="exact"/>
              <w:rPr>
                <w:sz w:val="20"/>
                <w:szCs w:val="20"/>
                <w:color w:val="auto"/>
              </w:rPr>
            </w:pPr>
            <w:r>
              <w:rPr>
                <w:rFonts w:ascii="Arial" w:cs="Arial" w:eastAsia="Arial" w:hAnsi="Arial"/>
                <w:sz w:val="18"/>
                <w:szCs w:val="18"/>
                <w:color w:val="auto"/>
              </w:rPr>
              <w:t>when</w:t>
            </w:r>
          </w:p>
        </w:tc>
        <w:tc>
          <w:tcPr>
            <w:tcW w:w="720" w:type="dxa"/>
            <w:vAlign w:val="bottom"/>
          </w:tcPr>
          <w:p>
            <w:pPr>
              <w:ind w:left="60"/>
              <w:spacing w:after="0" w:line="195" w:lineRule="exact"/>
              <w:rPr>
                <w:sz w:val="20"/>
                <w:szCs w:val="20"/>
                <w:color w:val="auto"/>
              </w:rPr>
            </w:pPr>
            <w:r>
              <w:rPr>
                <w:rFonts w:ascii="Arial" w:cs="Arial" w:eastAsia="Arial" w:hAnsi="Arial"/>
                <w:sz w:val="18"/>
                <w:szCs w:val="18"/>
                <w:color w:val="auto"/>
              </w:rPr>
              <w:t>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w w:val="90"/>
              </w:rPr>
              <w:t>To assess operational profitability of the Company across time periods.</w:t>
            </w:r>
          </w:p>
        </w:tc>
      </w:tr>
      <w:tr>
        <w:trPr>
          <w:trHeight w:val="230"/>
        </w:trPr>
        <w:tc>
          <w:tcPr>
            <w:tcW w:w="18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Operating income (loss) by Revenues.</w:t>
            </w:r>
          </w:p>
        </w:tc>
        <w:tc>
          <w:tcPr>
            <w:tcW w:w="3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27  Page</w:t>
      </w:r>
    </w:p>
    <w:p>
      <w:pPr>
        <w:sectPr>
          <w:pgSz w:w="11900" w:h="16838" w:orient="portrait"/>
          <w:cols w:equalWidth="0" w:num="1">
            <w:col w:w="11240"/>
          </w:cols>
          <w:pgMar w:left="320" w:top="229" w:right="339"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Consolidated Net Income (loss) to EBITDA and Adjusted EBITDA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line="195" w:lineRule="exact"/>
              <w:rPr>
                <w:sz w:val="20"/>
                <w:szCs w:val="20"/>
                <w:color w:val="auto"/>
              </w:rPr>
            </w:pPr>
            <w:r>
              <w:rPr>
                <w:rFonts w:ascii="Arial" w:cs="Arial" w:eastAsia="Arial" w:hAnsi="Arial"/>
                <w:sz w:val="18"/>
                <w:szCs w:val="18"/>
                <w:color w:val="auto"/>
                <w:w w:val="99"/>
              </w:rPr>
              <w:t>(U.S.$ in thousands except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7"/>
              </w:rPr>
              <w:t>% Change</w:t>
            </w:r>
          </w:p>
        </w:tc>
        <w:tc>
          <w:tcPr>
            <w:tcW w:w="1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36"/>
        </w:trPr>
        <w:tc>
          <w:tcPr>
            <w:tcW w:w="2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34,596</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33,247</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1,349</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100,125</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115,391</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(15,266)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loss before income</w:t>
            </w:r>
          </w:p>
        </w:tc>
        <w:tc>
          <w:tcPr>
            <w:tcW w:w="11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(18,302)</w:t>
            </w:r>
          </w:p>
        </w:tc>
        <w:tc>
          <w:tcPr>
            <w:tcW w:w="11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(89,533)</w:t>
            </w:r>
          </w:p>
        </w:tc>
        <w:tc>
          <w:tcPr>
            <w:tcW w:w="1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1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(46,686)</w:t>
            </w:r>
          </w:p>
        </w:tc>
        <w:tc>
          <w:tcPr>
            <w:tcW w:w="11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(239,810)</w:t>
            </w:r>
          </w:p>
        </w:tc>
        <w:tc>
          <w:tcPr>
            <w:tcW w:w="1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taxes</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71,231</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193,124</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815</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3,394</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(2,579)</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3,458</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10,950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(7,492)</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1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21,767</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62,995</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20,720</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1,047</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51,643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11,352</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4,280</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(65,419)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69,699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19,767</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(177,217)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196,984</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Share-based payment</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3,961</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(1,950)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7,009</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17,993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(10,984)</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loss on</w:t>
            </w: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of digital</w:t>
            </w:r>
          </w:p>
        </w:tc>
        <w:tc>
          <w:tcPr>
            <w:tcW w:w="11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44,329</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(44,329)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1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122,243</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(122,243)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Impairment on short-term</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prepaid deposits,</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equipment and</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prepayments, property,</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9"/>
              </w:rPr>
              <w:t>plant and equipment and</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9,982</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180" w:type="dxa"/>
            <w:vAlign w:val="bottom"/>
            <w:vMerge w:val="continue"/>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84,116</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(84,116)</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140" w:type="dxa"/>
            <w:vAlign w:val="bottom"/>
            <w:vMerge w:val="continue"/>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84,116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(74,134)</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revaluation</w:t>
            </w:r>
          </w:p>
        </w:tc>
        <w:tc>
          <w:tcPr>
            <w:tcW w:w="11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1,183</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(1,512)</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digital assets</w:t>
            </w:r>
          </w:p>
        </w:tc>
        <w:tc>
          <w:tcPr>
            <w:tcW w:w="118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(45,655)</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46,838</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w:t>
            </w:r>
          </w:p>
        </w:tc>
        <w:tc>
          <w:tcPr>
            <w:tcW w:w="11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21,118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Impairment on goodwill</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17,900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(17,900)</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extinguishment of</w:t>
            </w: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long-term debt and lease</w:t>
            </w:r>
          </w:p>
        </w:tc>
        <w:tc>
          <w:tcPr>
            <w:tcW w:w="11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(12,835)</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8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Gain on disposition of</w:t>
            </w:r>
          </w:p>
        </w:tc>
        <w:tc>
          <w:tcPr>
            <w:tcW w:w="11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(4,120)</w:t>
            </w: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(11,246)</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80" w:type="dxa"/>
            <w:vAlign w:val="bottom"/>
            <w:vMerge w:val="continue"/>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(13,690)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9,570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140" w:type="dxa"/>
            <w:vAlign w:val="bottom"/>
            <w:vMerge w:val="continue"/>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(44,332)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33,086</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financial expenses and</w:t>
            </w:r>
          </w:p>
        </w:tc>
        <w:tc>
          <w:tcPr>
            <w:tcW w:w="11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3,512</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9,942</w:t>
            </w:r>
          </w:p>
        </w:tc>
        <w:tc>
          <w:tcPr>
            <w:tcW w:w="1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(563)</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2,683</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829</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10,505</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6,866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10,325</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(3,459)</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21,107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52,326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(31,219)</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Adjusted EBITDA</w:t>
            </w: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margin</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28  Page</w:t>
      </w:r>
    </w:p>
    <w:p>
      <w:pPr>
        <w:sectPr>
          <w:pgSz w:w="11900" w:h="16838" w:orient="portrait"/>
          <w:cols w:equalWidth="0" w:num="1">
            <w:col w:w="11240"/>
          </w:cols>
          <w:pgMar w:left="320" w:top="229" w:right="339"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Gross Mining Profit and Gross Mining Margin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 Change</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5"/>
              </w:rPr>
              <w:t>% Change</w:t>
            </w:r>
          </w:p>
        </w:tc>
        <w:tc>
          <w:tcPr>
            <w:tcW w:w="1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(8,866)</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(3,939)</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(4,927)</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(23,259)</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22,602</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(45,861)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Non-Mining revenues (1)</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(1,697)</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(971)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(726)</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(3,775)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(2,342)</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(1,433)</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1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21,767</w:t>
            </w: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62,995</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14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20,720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1,047</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1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51,643</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rPr>
              <w:t>Purchases of electrical</w:t>
            </w: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892</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1,836</w:t>
            </w: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80"/>
              <w:spacing w:after="0"/>
              <w:rPr>
                <w:sz w:val="20"/>
                <w:szCs w:val="20"/>
                <w:color w:val="auto"/>
              </w:rPr>
            </w:pPr>
            <w:r>
              <w:rPr>
                <w:rFonts w:ascii="Arial" w:cs="Arial" w:eastAsia="Arial" w:hAnsi="Arial"/>
                <w:sz w:val="18"/>
                <w:szCs w:val="18"/>
                <w:color w:val="auto"/>
              </w:rPr>
              <w:t>components and other</w:t>
            </w:r>
          </w:p>
        </w:tc>
        <w:tc>
          <w:tcPr>
            <w:tcW w:w="1140" w:type="dxa"/>
            <w:vAlign w:val="bottom"/>
            <w:vMerge w:val="continue"/>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690</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202</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1100" w:type="dxa"/>
            <w:vAlign w:val="bottom"/>
            <w:vMerge w:val="continue"/>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1,262</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574</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Electrician salaries and</w:t>
            </w:r>
          </w:p>
        </w:tc>
        <w:tc>
          <w:tcPr>
            <w:tcW w:w="11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409</w:t>
            </w: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42%</w:t>
            </w:r>
          </w:p>
        </w:tc>
        <w:tc>
          <w:tcPr>
            <w:tcW w:w="11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1,220</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payroll taxes</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289</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924</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296</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8"/>
                <w:szCs w:val="18"/>
                <w:b w:val="1"/>
                <w:bCs w:val="1"/>
                <w:color w:val="auto"/>
              </w:rPr>
              <w:t>Gross Mining profit</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12,505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16,789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(4,284)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39,017</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74,089</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(35,072)</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Mining margin</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color w:val="auto"/>
              </w:rPr>
              <w:t>(1) Non-Mining revenues reconciliation:</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 September 30,</w:t>
            </w:r>
          </w:p>
        </w:tc>
        <w:tc>
          <w:tcPr>
            <w:tcW w:w="3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34,596</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33,247</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1,349</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100,125</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115,391</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(15,266)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w w:val="98"/>
              </w:rPr>
              <w:t>Less Mining related revenues</w:t>
            </w: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for the purpose of</w:t>
            </w: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calculating gross Mining</w:t>
            </w: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80"/>
              <w:spacing w:after="0"/>
              <w:rPr>
                <w:sz w:val="20"/>
                <w:szCs w:val="20"/>
                <w:color w:val="auto"/>
              </w:rPr>
            </w:pPr>
            <w:r>
              <w:rPr>
                <w:rFonts w:ascii="Arial" w:cs="Arial" w:eastAsia="Arial" w:hAnsi="Arial"/>
                <w:sz w:val="18"/>
                <w:szCs w:val="18"/>
                <w:color w:val="auto"/>
              </w:rPr>
              <w:t>margin:</w:t>
            </w: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Mining revenues</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(32,899)</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(32,276)</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(623)</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(96,350)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(113,049)</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16,699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1,697</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726</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3,775</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2,342</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29  Page</w:t>
      </w:r>
    </w:p>
    <w:p>
      <w:pPr>
        <w:sectPr>
          <w:pgSz w:w="11900" w:h="16838" w:orient="portrait"/>
          <w:cols w:equalWidth="0" w:num="1">
            <w:col w:w="11240"/>
          </w:cols>
          <w:pgMar w:left="320" w:top="229" w:right="339"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Direct Cost and Direct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1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2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where indicated)</w:t>
            </w:r>
          </w:p>
        </w:tc>
        <w:tc>
          <w:tcPr>
            <w:tcW w:w="1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5"/>
              </w:rPr>
              <w:t>% Change</w:t>
            </w:r>
          </w:p>
        </w:tc>
        <w:tc>
          <w:tcPr>
            <w:tcW w:w="11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43,462</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37,186</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6,276</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123,384</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92,789</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30,595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Depreciation and</w:t>
            </w: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(21,767)</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(62,995)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(20,720)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(1,047)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(51,643)</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(11,352)</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of electrical</w:t>
            </w:r>
          </w:p>
        </w:tc>
        <w:tc>
          <w:tcPr>
            <w:tcW w:w="12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(890)</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(1,830)</w:t>
            </w: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components</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(688)</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(1,252)</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Electrician salaries and</w:t>
            </w: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(409)</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(1,220)</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payroll taxes</w:t>
            </w:r>
          </w:p>
        </w:tc>
        <w:tc>
          <w:tcPr>
            <w:tcW w:w="120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(924)</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(296)</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Infrastructure</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(1,060)</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460</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(2,303)</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(3,841)</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336</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(336)</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82</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633</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Cost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19,796</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14,765</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5,031</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55,118</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35,762</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19,356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Quantity of BTC earned</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1,172</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1,515</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(343)</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3,692</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3,733</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Direct Cost per BTC (in</w:t>
            </w: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U.S. dollars)</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16,900</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9,700</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7,200</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14,900</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9,600</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5,300</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Total Cash Cost and Total Cash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1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where indicated)</w:t>
            </w:r>
          </w:p>
        </w:tc>
        <w:tc>
          <w:tcPr>
            <w:tcW w:w="11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5"/>
              </w:rPr>
              <w:t>% Change</w:t>
            </w:r>
          </w:p>
        </w:tc>
        <w:tc>
          <w:tcPr>
            <w:tcW w:w="10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4"/>
              </w:rPr>
              <w:t>Net loss before income taxes</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18,302</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89,533</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(71,231)</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46,686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239,810</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(193,124)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34,596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33,247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1,349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100,125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115,391</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(15,266)</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1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(21,767)</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(62,995)</w:t>
            </w: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(20,720)</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(1,047)</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06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(51,643)</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(11,352)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Purchases of electrical</w:t>
            </w: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(890)</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(1,830)</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components</w:t>
            </w:r>
          </w:p>
        </w:tc>
        <w:tc>
          <w:tcPr>
            <w:tcW w:w="110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(688)</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(202)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06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(1,252)</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(578)</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Electrician salaries and</w:t>
            </w:r>
          </w:p>
        </w:tc>
        <w:tc>
          <w:tcPr>
            <w:tcW w:w="11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(409)</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(1,220)</w:t>
            </w: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taxes</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06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(924)</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Share-based payment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(3,961)</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1,950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(7,009)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(17,993)</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10,984</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loss on disposition</w:t>
            </w:r>
          </w:p>
        </w:tc>
        <w:tc>
          <w:tcPr>
            <w:tcW w:w="11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digital assets</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(44,329)</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44,329</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6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(122,243)</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122,243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(Reversal of) revaluation loss</w:t>
            </w: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(1,183)</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1,512</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on digital assets</w:t>
            </w:r>
          </w:p>
        </w:tc>
        <w:tc>
          <w:tcPr>
            <w:tcW w:w="110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45,655</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(46,838)</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106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(21,118)</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22,630</w:t>
            </w: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disposition of</w:t>
            </w: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w:t>
            </w:r>
          </w:p>
        </w:tc>
        <w:tc>
          <w:tcPr>
            <w:tcW w:w="11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(217)</w:t>
            </w: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(1,776)</w:t>
            </w: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(756)</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106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(1,692)</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Impairment on short-term</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prepaid deposits,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equipment and</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construction prepayments,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property, plant and</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equipment and right-of-use</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(9,982)</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(84,116)</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84,116</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06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(84,116)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74,134</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(17,900)</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17,900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Net financial income</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336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8,251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(7,915)</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12,706</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24,191</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(11,485)</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(179)</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336</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(515)</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(97)</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(730)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b w:val="1"/>
                <w:bCs w:val="1"/>
                <w:color w:val="auto"/>
              </w:rPr>
              <w:t>Total Cash Cost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26,578</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22,163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4,415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76,120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61,144</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14,976</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of BTC earned</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1,172</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1,515</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(343)</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3,692</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3,733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1"/>
        </w:trPr>
        <w:tc>
          <w:tcPr>
            <w:tcW w:w="2380" w:type="dxa"/>
            <w:vAlign w:val="bottom"/>
          </w:tcPr>
          <w:p>
            <w:pPr>
              <w:spacing w:after="0" w:line="191" w:lineRule="exact"/>
              <w:rPr>
                <w:sz w:val="20"/>
                <w:szCs w:val="20"/>
                <w:color w:val="auto"/>
              </w:rPr>
            </w:pPr>
            <w:r>
              <w:rPr>
                <w:rFonts w:ascii="Arial" w:cs="Arial" w:eastAsia="Arial" w:hAnsi="Arial"/>
                <w:sz w:val="18"/>
                <w:szCs w:val="18"/>
                <w:b w:val="1"/>
                <w:bCs w:val="1"/>
                <w:color w:val="auto"/>
              </w:rPr>
              <w:t>Total Cash Cost per BTC</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color w:val="auto"/>
              </w:rPr>
              <w:t>55%</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2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 U.S. dollars)</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22,700</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14,600</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8,100</w:t>
            </w:r>
          </w:p>
        </w:tc>
        <w:tc>
          <w:tcPr>
            <w:tcW w:w="1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20,600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16,400</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4,200</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30  Page</w:t>
      </w:r>
    </w:p>
    <w:p>
      <w:pPr>
        <w:sectPr>
          <w:pgSz w:w="11900" w:h="16838" w:orient="portrait"/>
          <w:cols w:equalWidth="0" w:num="1">
            <w:col w:w="11240"/>
          </w:cols>
          <w:pgMar w:left="320" w:top="229" w:right="339"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below, the Company’s current financing strategy involves (a) selling the BTC it earns and the BTC it holds in treasury and (b) utilizing short-term debt, long-term debt and equity instruments to fund its expansion activities, operating expenses and debt service requirements. The Company anticipates requiring additional funds to complete its growth plans discussed in Section 6 - Expansion Projects of this MD&amp;A.</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changes in national and provincial leadership may result in changing governmental perceptions and actions surrounding importation policies and the availability of foreign currency reserves for commerce. In late 2023, Argentina is undergoing a presidential election, the results of which, and the implication for economic and monetary policy and its impact on Bitfarms, cannot be ascertained as of the issuance date of this MD&amp;A.</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sends funds periodically to its Argentinian subsidiary to fund its expansion based on supplier invoices that are paid by the Argentinian subsidiary. The Argentinian subsidiary provides Mining services for a market-based fee to its Canadian parent which owns and records revenue from the BTC earned in Argentina and, accordingly, the Argentinian subsidiary is not structured or contemplated to generate substantial cash flows above its internal requirements. The Argentinian subsidiary earns a market-based return on the services it provides to its Canadian parent.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w w:val="88"/>
              </w:rPr>
              <w:t>A.</w:t>
            </w:r>
          </w:p>
        </w:tc>
        <w:tc>
          <w:tcPr>
            <w:tcW w:w="4940" w:type="dxa"/>
            <w:vAlign w:val="bottom"/>
          </w:tcPr>
          <w:p>
            <w:pPr>
              <w:ind w:left="480"/>
              <w:spacing w:after="0"/>
              <w:rPr>
                <w:sz w:val="20"/>
                <w:szCs w:val="20"/>
                <w:color w:val="auto"/>
              </w:rPr>
            </w:pPr>
            <w:r>
              <w:rPr>
                <w:rFonts w:ascii="Arial" w:cs="Arial" w:eastAsia="Arial" w:hAnsi="Arial"/>
                <w:sz w:val="18"/>
                <w:szCs w:val="18"/>
                <w:b w:val="1"/>
                <w:bCs w:val="1"/>
                <w:color w:val="auto"/>
              </w:rPr>
              <w:t>Cash Flows</w:t>
            </w:r>
          </w:p>
        </w:tc>
        <w:tc>
          <w:tcPr>
            <w:tcW w:w="2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89"/>
              </w:rPr>
              <w:t>Nine months ended September 30,</w:t>
            </w:r>
          </w:p>
        </w:tc>
        <w:tc>
          <w:tcPr>
            <w:tcW w:w="1200" w:type="dxa"/>
            <w:vAlign w:val="bottom"/>
            <w:tcBorders>
              <w:bottom w:val="single" w:sz="8" w:color="auto"/>
            </w:tcBorders>
          </w:tcPr>
          <w:p>
            <w:pPr>
              <w:spacing w:after="0"/>
              <w:rPr>
                <w:sz w:val="21"/>
                <w:szCs w:val="21"/>
                <w:color w:val="auto"/>
              </w:rPr>
            </w:pPr>
          </w:p>
        </w:tc>
      </w:tr>
      <w:tr>
        <w:trPr>
          <w:trHeight w:val="237"/>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37"/>
        </w:trPr>
        <w:tc>
          <w:tcPr>
            <w:tcW w:w="5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beginning of the period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30,887</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125,595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(94,708)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Cash flows from (used in):</w:t>
            </w:r>
          </w:p>
        </w:tc>
        <w:tc>
          <w:tcPr>
            <w:tcW w:w="2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10,028</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3,169</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6,859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Investing activities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(35,373)</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(144,541)</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109,168</w:t>
            </w: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41,268</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51,542</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8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Exchange rate differences on currency translation</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49</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5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46,775</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35,814</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10,961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31  Page</w:t>
      </w:r>
    </w:p>
    <w:p>
      <w:pPr>
        <w:sectPr>
          <w:pgSz w:w="11900" w:h="16838" w:orient="portrait"/>
          <w:cols w:equalWidth="0" w:num="1">
            <w:col w:w="11240"/>
          </w:cols>
          <w:pgMar w:left="320" w:top="229" w:right="339"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 increased by $6.9 million during YTD Q3 2023 compared to YTD Q3 2022, primarily driven by:</w:t>
      </w:r>
    </w:p>
    <w:p>
      <w:pPr>
        <w:spacing w:after="0" w:line="9"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decline in income taxes paid, with $14.9 million paid during YTD Q3 2022, compared to $7.3 million refunded during YTD Q3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Other favorable working capital variances totaling $10.8 million that are explained in Section 11 - </w:t>
      </w:r>
      <w:r>
        <w:rPr>
          <w:rFonts w:ascii="Arial" w:cs="Arial" w:eastAsia="Arial" w:hAnsi="Arial"/>
          <w:sz w:val="18"/>
          <w:szCs w:val="18"/>
          <w:i w:val="1"/>
          <w:iCs w:val="1"/>
          <w:color w:val="auto"/>
        </w:rPr>
        <w:t>Financial Position</w:t>
      </w:r>
      <w:r>
        <w:rPr>
          <w:rFonts w:ascii="Arial" w:cs="Arial" w:eastAsia="Arial" w:hAnsi="Arial"/>
          <w:sz w:val="18"/>
          <w:szCs w:val="18"/>
          <w:color w:val="auto"/>
        </w:rPr>
        <w:t xml:space="preserve"> of this MD&amp;A;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Lower interest and financial expenses paid of $6.2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Lower cash G&amp;A expenses of $2.6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23" w:lineRule="exact"/>
        <w:rPr>
          <w:sz w:val="20"/>
          <w:szCs w:val="20"/>
          <w:color w:val="auto"/>
        </w:rPr>
      </w:pPr>
    </w:p>
    <w:p>
      <w:pPr>
        <w:ind w:left="66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Higher energy and infrastructure costs of $18.4 million that are explained in Section 7B - </w:t>
      </w:r>
      <w:r>
        <w:rPr>
          <w:rFonts w:ascii="Arial" w:cs="Arial" w:eastAsia="Arial" w:hAnsi="Arial"/>
          <w:sz w:val="18"/>
          <w:szCs w:val="18"/>
          <w:i w:val="1"/>
          <w:iCs w:val="1"/>
          <w:color w:val="auto"/>
        </w:rPr>
        <w:t>Financial Performance - Cost of Revenues</w:t>
      </w:r>
      <w:r>
        <w:rPr>
          <w:rFonts w:ascii="Arial" w:cs="Arial" w:eastAsia="Arial" w:hAnsi="Arial"/>
          <w:sz w:val="18"/>
          <w:szCs w:val="18"/>
          <w:color w:val="auto"/>
        </w:rPr>
        <w:t xml:space="preserve"> of this MD&amp;A; and</w:t>
      </w:r>
    </w:p>
    <w:p>
      <w:pPr>
        <w:ind w:left="660" w:hanging="328"/>
        <w:spacing w:after="0" w:line="26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in proceeds from sale of digital assets earned of $17.3 million as a result of selling less BTC in YTD Q3 2023 compared to YTD Q3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decreased by $109.2 million during YTD Q3 2023 compared to YTD Q3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 used in investing activities is driven primarily by:</w:t>
      </w:r>
    </w:p>
    <w:p>
      <w:pPr>
        <w:spacing w:after="0" w:line="23" w:lineRule="exact"/>
        <w:rPr>
          <w:sz w:val="20"/>
          <w:szCs w:val="20"/>
          <w:color w:val="auto"/>
        </w:rPr>
      </w:pPr>
    </w:p>
    <w:p>
      <w:pPr>
        <w:ind w:left="660" w:right="2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$40.7 million of net additions of property, plant and equipment (“PPE”) during YTD Q3 2023, compared to $111.4 million for the same period in 2022, primarily due to the acquisition of Miners and infrastructure build-out;</w:t>
      </w:r>
    </w:p>
    <w:p>
      <w:pPr>
        <w:ind w:left="66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making $3.5 million advance payments mainly for the Paraguay expansion during YTD Q3 2023, compared to $54.9 million in advanced payments made on new PPE mainly for the Argentina expansion during YTD Q3 2022; and</w:t>
      </w:r>
    </w:p>
    <w:p>
      <w:pPr>
        <w:ind w:left="660" w:hanging="328"/>
        <w:spacing w:after="0" w:line="26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Company not purchasing BTC during YTD Q3 2023, compared to acquiring 1,000 BTC for $43.2 million during YTD Q3 2022. Refer to Section 10B - </w:t>
      </w:r>
      <w:r>
        <w:rPr>
          <w:rFonts w:ascii="Arial" w:cs="Arial" w:eastAsia="Arial" w:hAnsi="Arial"/>
          <w:sz w:val="18"/>
          <w:szCs w:val="18"/>
          <w:i w:val="1"/>
          <w:iCs w:val="1"/>
          <w:color w:val="auto"/>
        </w:rPr>
        <w:t>Liquidity and Capital Resources (capital resources - digital asset management program)</w:t>
      </w:r>
      <w:r>
        <w:rPr>
          <w:rFonts w:ascii="Arial" w:cs="Arial" w:eastAsia="Arial" w:hAnsi="Arial"/>
          <w:sz w:val="18"/>
          <w:szCs w:val="18"/>
          <w:color w:val="auto"/>
        </w:rPr>
        <w:t xml:space="preserve"> of this MD&amp;A.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jc w:val="both"/>
        <w:ind w:left="660" w:hanging="328"/>
        <w:spacing w:after="0" w:line="250"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$11.2 million of net proceeds received in YTD Q3 2023 from the purchase and disposition of marketable securities to fund the Argentina expansion activities, compared to $44.3 million of net proceeds for the same period in 2022, as described in Note 22 - </w:t>
      </w:r>
      <w:r>
        <w:rPr>
          <w:rFonts w:ascii="Arial" w:cs="Arial" w:eastAsia="Arial" w:hAnsi="Arial"/>
          <w:sz w:val="18"/>
          <w:szCs w:val="18"/>
          <w:i w:val="1"/>
          <w:iCs w:val="1"/>
          <w:color w:val="auto"/>
        </w:rPr>
        <w:t>Additional Details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of Profit or Loss and Comprehensive Profit or Loss </w:t>
      </w:r>
      <w:r>
        <w:rPr>
          <w:rFonts w:ascii="Arial" w:cs="Arial" w:eastAsia="Arial" w:hAnsi="Arial"/>
          <w:sz w:val="18"/>
          <w:szCs w:val="18"/>
          <w:color w:val="auto"/>
        </w:rPr>
        <w:t>to the Financial Statements;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Proceeds of $20.7 million from the sale of digital assets purchased in YTD Q3 2022, compared to nil in YTD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32  Page</w:t>
      </w:r>
    </w:p>
    <w:p>
      <w:pPr>
        <w:sectPr>
          <w:pgSz w:w="11900" w:h="16838" w:orient="portrait"/>
          <w:cols w:equalWidth="0" w:num="1">
            <w:col w:w="11240"/>
          </w:cols>
          <w:pgMar w:left="320" w:top="229" w:right="339"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Cash flows from financing activities decreased by $10.3 million from $51.5 million for </w:t>
      </w:r>
      <w:r>
        <w:rPr>
          <w:rFonts w:ascii="Arial" w:cs="Arial" w:eastAsia="Arial" w:hAnsi="Arial"/>
          <w:sz w:val="18"/>
          <w:szCs w:val="18"/>
          <w:i w:val="1"/>
          <w:iCs w:val="1"/>
          <w:color w:val="auto"/>
        </w:rPr>
        <w:t>YTD</w:t>
      </w:r>
      <w:r>
        <w:rPr>
          <w:rFonts w:ascii="Arial" w:cs="Arial" w:eastAsia="Arial" w:hAnsi="Arial"/>
          <w:sz w:val="18"/>
          <w:szCs w:val="18"/>
          <w:color w:val="auto"/>
        </w:rPr>
        <w:t xml:space="preserve"> Q3 2022 to $41.3 million for </w:t>
      </w:r>
      <w:r>
        <w:rPr>
          <w:rFonts w:ascii="Arial" w:cs="Arial" w:eastAsia="Arial" w:hAnsi="Arial"/>
          <w:sz w:val="18"/>
          <w:szCs w:val="18"/>
          <w:i w:val="1"/>
          <w:iCs w:val="1"/>
          <w:color w:val="auto"/>
        </w:rPr>
        <w:t>YTD</w:t>
      </w:r>
      <w:r>
        <w:rPr>
          <w:rFonts w:ascii="Arial" w:cs="Arial" w:eastAsia="Arial" w:hAnsi="Arial"/>
          <w:sz w:val="18"/>
          <w:szCs w:val="18"/>
          <w:color w:val="auto"/>
        </w:rPr>
        <w:t xml:space="preserve"> Q3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YTD Q3 2023</w:t>
      </w:r>
    </w:p>
    <w:p>
      <w:pPr>
        <w:spacing w:after="0" w:line="23" w:lineRule="exact"/>
        <w:rPr>
          <w:sz w:val="20"/>
          <w:szCs w:val="20"/>
          <w:color w:val="auto"/>
        </w:rPr>
      </w:pPr>
    </w:p>
    <w:p>
      <w:pPr>
        <w:ind w:left="660" w:hanging="328"/>
        <w:spacing w:after="0" w:line="265"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raised $68.5 million of net proceeds from its at-the-market equity offering program, which were partially offset by scheduled and one-time payments relating to long-term debt and lease liabilities of approximately $24.6 million and $2.9 million, respectively.</w:t>
      </w: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long-term debt repayments included: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settlement of the BlockFi Loan on February 8, 2023 for cash consideration of $7.8 million, as discussed below;</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Capital repayments of $16.4 million towards the NYDIG loan that reduced the outstanding balance to $9.9 million as of September 30, 2023; and</w:t>
      </w:r>
    </w:p>
    <w:p>
      <w:pPr>
        <w:ind w:left="1300" w:hanging="320"/>
        <w:spacing w:after="0" w:line="250"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full repayment of the principal amount of the remaining Foundry Loans #2, #3 and #4, as defined in the Financial Statements, before maturity and without prepayment penalty, for $0.8 million.</w:t>
      </w: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lease repayments included:</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Company’s modification in February 2023 of its lease agreement with Reliz Ltd. (where BlockFi was the lender to Reliz Ltd.) in order to settle its outstanding lease liability of $0.4 million for a payment of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YTD Q3 2022</w:t>
      </w:r>
    </w:p>
    <w:p>
      <w:pPr>
        <w:spacing w:after="0" w:line="23" w:lineRule="exact"/>
        <w:rPr>
          <w:sz w:val="20"/>
          <w:szCs w:val="20"/>
          <w:color w:val="auto"/>
        </w:rPr>
      </w:pPr>
    </w:p>
    <w:p>
      <w:pPr>
        <w:jc w:val="both"/>
        <w:ind w:left="660" w:hanging="328"/>
        <w:spacing w:after="0" w:line="250" w:lineRule="auto"/>
        <w:tabs>
          <w:tab w:leader="none" w:pos="660" w:val="left"/>
        </w:tabs>
        <w:numPr>
          <w:ilvl w:val="0"/>
          <w:numId w:val="89"/>
        </w:numPr>
        <w:rPr>
          <w:rFonts w:ascii="Arial" w:cs="Arial" w:eastAsia="Arial" w:hAnsi="Arial"/>
          <w:sz w:val="18"/>
          <w:szCs w:val="18"/>
          <w:i w:val="1"/>
          <w:iCs w:val="1"/>
          <w:color w:val="auto"/>
        </w:rPr>
      </w:pPr>
      <w:r>
        <w:rPr>
          <w:rFonts w:ascii="Arial" w:cs="Arial" w:eastAsia="Arial" w:hAnsi="Arial"/>
          <w:sz w:val="18"/>
          <w:szCs w:val="18"/>
          <w:color w:val="auto"/>
        </w:rPr>
        <w:t>During YTD Q3 2022, the Company raised $67.2 million of net proceeds from long-term debt, received $40.0 million of proceeds from the credit facility (which was fully repaid in the fourth quarter of 2022), and $48.5 million of net proceeds from the Company’s at-the-market equity offering program; and</w:t>
      </w:r>
    </w:p>
    <w:p>
      <w:pPr>
        <w:spacing w:after="0" w:line="1" w:lineRule="exact"/>
        <w:rPr>
          <w:rFonts w:ascii="Arial" w:cs="Arial" w:eastAsia="Arial" w:hAnsi="Arial"/>
          <w:sz w:val="18"/>
          <w:szCs w:val="18"/>
          <w:i w:val="1"/>
          <w:iCs w:val="1"/>
          <w:color w:val="auto"/>
        </w:rPr>
      </w:pPr>
    </w:p>
    <w:p>
      <w:pPr>
        <w:ind w:left="660" w:hanging="328"/>
        <w:spacing w:after="0" w:line="260" w:lineRule="auto"/>
        <w:tabs>
          <w:tab w:leader="none" w:pos="660" w:val="left"/>
        </w:tabs>
        <w:numPr>
          <w:ilvl w:val="0"/>
          <w:numId w:val="89"/>
        </w:numPr>
        <w:rPr>
          <w:rFonts w:ascii="Arial" w:cs="Arial" w:eastAsia="Arial" w:hAnsi="Arial"/>
          <w:sz w:val="18"/>
          <w:szCs w:val="18"/>
          <w:i w:val="1"/>
          <w:iCs w:val="1"/>
          <w:color w:val="auto"/>
        </w:rPr>
      </w:pPr>
      <w:r>
        <w:rPr>
          <w:rFonts w:ascii="Arial" w:cs="Arial" w:eastAsia="Arial" w:hAnsi="Arial"/>
          <w:sz w:val="18"/>
          <w:szCs w:val="18"/>
          <w:color w:val="auto"/>
        </w:rPr>
        <w:t>During YTD Q3 2022, these proceeds were partially offset by repayments towards the credit facility, long-term debt, and lease liabilities of $76.9 million, $23.2 million and $4.1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BlockFi Loan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33  Page</w:t>
      </w:r>
    </w:p>
    <w:p>
      <w:pPr>
        <w:sectPr>
          <w:pgSz w:w="11900" w:h="16838" w:orient="portrait"/>
          <w:cols w:equalWidth="0" w:num="1">
            <w:col w:w="11240"/>
          </w:cols>
          <w:pgMar w:left="320" w:top="229" w:right="339"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commenced an at-the-market equity offering program (the “ATM program”) on August 16, 2021, by means of a prospectus supplement dated August 16, 2021, to the Company’s short form base shelf prospectus dated August 12, 2021, and U.S. registration statement on Form-F-10, which includes a prospectus supplement related to the ATM.</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ATM program expired on September 12, 2023. Over the course of the ATM program, the Company issued 105,368,000 common shares in exchange for gross proceeds of $277.0 million at an average share price of approximately $2.63. The Company received net proceeds of $268.3 million after paying commissions of $8.5 million to the sales agent for the ATM program and $0.3 million in other transaction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2023 v. Q3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September 30, 2023, the Company issued 18,570,000 common shares in the ATM program in exchange for gross proceeds of $31.9 million at an average share price of approximately $1.72. The Company received net proceeds of $30.9 million after paying commissions of $1.0 million to the sales agent for the ATM program. During the three months ended September 30, 2022, the Company issued 9,357,000 common shares in exchange for gross proceeds of $13.0 million at an average share price of approximately $1.39. The Company received net proceeds of $12.6 million after paying commissions of $0.5 million to the sales agent.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Q3 2023 v. YTD Q3 2022</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YTD Q3 2023, the Company issued 52,121,000 common shares in the ATM program in exchange for gross proceeds of $70.8 million at an average share price of approximately $1.36. The Company received net proceeds of $68.5 million after paying commissions of $2.2 million to the sales agent, in addition to $0.1 million of other transaction fees. During YTD Q3 2022, the Company issued 20,835,000 common shares in the ATM program in exchange for gross proceeds of $50.2 million at an average share price of approximately $2.41. The Company received net proceeds of $48.5 million after paying commissions of $1.6 million to the sales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34  Page</w:t>
      </w:r>
    </w:p>
    <w:p>
      <w:pPr>
        <w:sectPr>
          <w:pgSz w:w="11900" w:h="16838" w:orient="portrait"/>
          <w:cols w:equalWidth="0" w:num="1">
            <w:col w:w="11240"/>
          </w:cols>
          <w:pgMar w:left="320" w:top="229" w:right="339"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has used the proceeds from the ATM equity offering program, that expired on September 12, 2023, to support the growth and development of the Company’s Mining operations, as described in Section 6 - </w:t>
      </w:r>
      <w:r>
        <w:rPr>
          <w:rFonts w:ascii="Arial" w:cs="Arial" w:eastAsia="Arial" w:hAnsi="Arial"/>
          <w:sz w:val="16"/>
          <w:szCs w:val="16"/>
          <w:i w:val="1"/>
          <w:iCs w:val="1"/>
          <w:color w:val="auto"/>
        </w:rPr>
        <w:t>Expansion Projects</w:t>
      </w:r>
      <w:r>
        <w:rPr>
          <w:rFonts w:ascii="Arial" w:cs="Arial" w:eastAsia="Arial" w:hAnsi="Arial"/>
          <w:sz w:val="16"/>
          <w:szCs w:val="16"/>
          <w:color w:val="auto"/>
        </w:rPr>
        <w:t xml:space="preserve"> of this MD&amp;A, as well as for working capital and general corporate purposes. Described below are the actual use of proceeds from the commencement of the ATM equity offering program through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3880" w:type="dxa"/>
            <w:vAlign w:val="bottom"/>
          </w:tcPr>
          <w:p>
            <w:pPr>
              <w:spacing w:after="0"/>
              <w:rPr>
                <w:sz w:val="20"/>
                <w:szCs w:val="20"/>
                <w:color w:val="auto"/>
              </w:rPr>
            </w:pPr>
          </w:p>
        </w:tc>
      </w:tr>
      <w:tr>
        <w:trPr>
          <w:trHeight w:val="441"/>
        </w:trPr>
        <w:tc>
          <w:tcPr>
            <w:tcW w:w="7360" w:type="dxa"/>
            <w:vAlign w:val="bottom"/>
          </w:tcPr>
          <w:p>
            <w:pPr>
              <w:spacing w:after="0"/>
              <w:rPr>
                <w:sz w:val="24"/>
                <w:szCs w:val="24"/>
                <w:color w:val="auto"/>
              </w:rPr>
            </w:pP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Use of proceeds from</w:t>
            </w:r>
          </w:p>
        </w:tc>
      </w:tr>
      <w:tr>
        <w:trPr>
          <w:trHeight w:val="216"/>
        </w:trPr>
        <w:tc>
          <w:tcPr>
            <w:tcW w:w="7360" w:type="dxa"/>
            <w:vAlign w:val="bottom"/>
          </w:tcPr>
          <w:p>
            <w:pPr>
              <w:spacing w:after="0"/>
              <w:rPr>
                <w:sz w:val="18"/>
                <w:szCs w:val="18"/>
                <w:color w:val="auto"/>
              </w:rPr>
            </w:pPr>
          </w:p>
        </w:tc>
        <w:tc>
          <w:tcPr>
            <w:tcW w:w="3880" w:type="dxa"/>
            <w:vAlign w:val="bottom"/>
          </w:tcPr>
          <w:p>
            <w:pPr>
              <w:jc w:val="right"/>
              <w:ind w:right="70"/>
              <w:spacing w:after="0"/>
              <w:rPr>
                <w:sz w:val="20"/>
                <w:szCs w:val="20"/>
                <w:color w:val="auto"/>
              </w:rPr>
            </w:pPr>
            <w:r>
              <w:rPr>
                <w:rFonts w:ascii="Arial" w:cs="Arial" w:eastAsia="Arial" w:hAnsi="Arial"/>
                <w:sz w:val="18"/>
                <w:szCs w:val="18"/>
                <w:b w:val="1"/>
                <w:bCs w:val="1"/>
                <w:color w:val="auto"/>
              </w:rPr>
              <w:t>August 16,</w:t>
            </w:r>
          </w:p>
        </w:tc>
      </w:tr>
      <w:tr>
        <w:trPr>
          <w:trHeight w:val="216"/>
        </w:trPr>
        <w:tc>
          <w:tcPr>
            <w:tcW w:w="7360" w:type="dxa"/>
            <w:vAlign w:val="bottom"/>
          </w:tcPr>
          <w:p>
            <w:pPr>
              <w:spacing w:after="0"/>
              <w:rPr>
                <w:sz w:val="18"/>
                <w:szCs w:val="18"/>
                <w:color w:val="auto"/>
              </w:rPr>
            </w:pPr>
          </w:p>
        </w:tc>
        <w:tc>
          <w:tcPr>
            <w:tcW w:w="388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r>
      <w:tr>
        <w:trPr>
          <w:trHeight w:val="216"/>
        </w:trPr>
        <w:tc>
          <w:tcPr>
            <w:tcW w:w="7360" w:type="dxa"/>
            <w:vAlign w:val="bottom"/>
          </w:tcPr>
          <w:p>
            <w:pPr>
              <w:spacing w:after="0"/>
              <w:rPr>
                <w:sz w:val="18"/>
                <w:szCs w:val="18"/>
                <w:color w:val="auto"/>
              </w:rPr>
            </w:pP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to</w:t>
            </w:r>
          </w:p>
        </w:tc>
      </w:tr>
      <w:tr>
        <w:trPr>
          <w:trHeight w:val="216"/>
        </w:trPr>
        <w:tc>
          <w:tcPr>
            <w:tcW w:w="7360" w:type="dxa"/>
            <w:vAlign w:val="bottom"/>
          </w:tcPr>
          <w:p>
            <w:pPr>
              <w:spacing w:after="0"/>
              <w:rPr>
                <w:sz w:val="18"/>
                <w:szCs w:val="18"/>
                <w:color w:val="auto"/>
              </w:rPr>
            </w:pPr>
          </w:p>
        </w:tc>
        <w:tc>
          <w:tcPr>
            <w:tcW w:w="388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Categories</w:t>
            </w: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MicroBT Miners</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126,313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Bitmain Miners</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29,298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Washington Expansion</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27,181</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Sherbrooke Expansion (completed in 2022)</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22,201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Argentina Expansion, net of gain on disposition of marketable securities</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50,898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Cowansville Expansion (completed in 2022)</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573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Paraguay Expansion</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Baie-Comeau Expansion</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3,988</w:t>
            </w:r>
          </w:p>
        </w:tc>
      </w:tr>
      <w:tr>
        <w:trPr>
          <w:trHeight w:val="243"/>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Paso Pe (Paraguay) Expansion</w:t>
            </w:r>
          </w:p>
        </w:tc>
        <w:tc>
          <w:tcPr>
            <w:tcW w:w="3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4,628</w:t>
            </w:r>
          </w:p>
        </w:tc>
      </w:tr>
      <w:tr>
        <w:trPr>
          <w:trHeight w:val="237"/>
        </w:trPr>
        <w:tc>
          <w:tcPr>
            <w:tcW w:w="73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268,310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continue to explore expansion opportunities in new and existing facilities, subject to market conditions and the ability to continue to obtain suitable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35  Page</w:t>
      </w:r>
    </w:p>
    <w:p>
      <w:pPr>
        <w:sectPr>
          <w:pgSz w:w="11900" w:h="16838" w:orient="portrait"/>
          <w:cols w:equalWidth="0" w:num="1">
            <w:col w:w="11240"/>
          </w:cols>
          <w:pgMar w:left="320" w:top="229" w:right="339"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current capital budget and BTC prices, the Company currently anticipates that additional financing will be required to complete construction of additional facilities in Argentina and to fund expansion activities in Canada and Paraguay beyond those required to achieve its published hashrate targets. In order to achieve its business objectives, the Company may sell or borrow against the BTC that have been accumulated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BTC Halving is scheduled to occur once every 210,000 blocks, or roughly every four years, until the total amount of BTC rewards issued reaches 21 million, which is expected to occur around 2140. The next BTC Halving is expected to occur in late April or early May 2024, at which time BTC block rewards will decrease from 6.25 BTC per block to 3.125 BTC per block. Once 21 million BTC are generated, the network will stop producing more. While BTC prices have had a history of price fluctuations around BTC Halving events, there is no guarantee that the price change will be favorable or would compensate for the reduction in Mining reward and the compensation from Mining Pools.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Management Program</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enhances on a quarterly basis. Pursuant to the digital asset management program, the Company added 3,301 BTC to its balance sheet during the year ended December 31, 2021.</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maintain sufficient liquidity levels. On August 1, 2022, management received approval from the BOD to sell daily production, in addition to any sale of up to 1,000 BTC from treasury, should market conditions be justified in its discretion. During Q4 2022, the Company sold 1,359 BTC in collateral to repay the remaining balance of the Credit Facility in full and 1,734 BTC in treasury to manage liquidity levels. Since January 2022, the Company has not purchased any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36  Page</w:t>
      </w:r>
    </w:p>
    <w:p>
      <w:pPr>
        <w:sectPr>
          <w:pgSz w:w="11900" w:h="16838" w:orient="portrait"/>
          <w:cols w:equalWidth="0" w:num="1">
            <w:col w:w="11240"/>
          </w:cols>
          <w:pgMar w:left="320" w:top="229" w:right="339"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Digital Asset Management Program </w:t>
      </w:r>
      <w:r>
        <w:rPr>
          <w:rFonts w:ascii="Arial" w:cs="Arial" w:eastAsia="Arial" w:hAnsi="Arial"/>
          <w:sz w:val="18"/>
          <w:szCs w:val="18"/>
          <w:color w:val="auto"/>
        </w:rPr>
        <w:t>(Continued)</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Presented below are the total BTC sold and proceeds per quarter through September 30, 2023, a portion of which was used to repay equipment-related indebtedness, with the remaining portion used to fund operations and expansion plans:</w:t>
      </w:r>
    </w:p>
    <w:p>
      <w:pPr>
        <w:spacing w:after="0" w:line="208"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0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September 30,</w:t>
            </w:r>
          </w:p>
        </w:tc>
        <w:tc>
          <w:tcPr>
            <w:tcW w:w="12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June 30,</w:t>
            </w:r>
          </w:p>
        </w:tc>
        <w:tc>
          <w:tcPr>
            <w:tcW w:w="11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March 31,</w:t>
            </w:r>
          </w:p>
        </w:tc>
      </w:tr>
      <w:tr>
        <w:trPr>
          <w:trHeight w:val="234"/>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3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r>
      <w:tr>
        <w:trPr>
          <w:trHeight w:val="209"/>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Quantity of BTC sold</w:t>
            </w:r>
          </w:p>
        </w:tc>
        <w:tc>
          <w:tcPr>
            <w:tcW w:w="3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1,018</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1,109</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r>
      <w:tr>
        <w:trPr>
          <w:trHeight w:val="243"/>
        </w:trPr>
        <w:tc>
          <w:tcPr>
            <w:tcW w:w="5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proceeds</w:t>
            </w:r>
          </w:p>
        </w:tc>
        <w:tc>
          <w:tcPr>
            <w:tcW w:w="3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28,354</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30,886</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28,483</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purchase and sale of BTC as described above while the Company continued to earn BTC resulted in total holdings of 703 BTC as of September 30, 2023, valued at approximately $19.0 million based on a BTC price of approximately $27,000,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BTC received from the Mining Pool for its computational power is delivered to multi-signature wallets that the Company controls or directs to external third-party custodians. On a regular basis, the Company transfers BTC from its multi-signature wallets to external third-party custodians, Coinbase Custody Trust Company, LLC (“Coinbase Custody”)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internal controls in place to evaluate its custodians on a quarterly basis. The Company can transfer digital assets between custodians and has its own multi-signature wallets as a contingency plan that would have a minimal impact on the Company’s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6, 2023, the Company has 777 BTC, valued at $27.3 million on its balance sheet. As of the date of this MD&amp;A, 97% of the Company’s BTC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BTC are held by third parties to collateralize the Company’s hedging contracts, which will be classified as derivative liabilities in the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37  Page</w:t>
      </w:r>
    </w:p>
    <w:p>
      <w:pPr>
        <w:sectPr>
          <w:pgSz w:w="11900" w:h="16838" w:orient="portrait"/>
          <w:cols w:equalWidth="0" w:num="1">
            <w:col w:w="11240"/>
          </w:cols>
          <w:pgMar w:left="320" w:top="229" w:right="339"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Custody of Digital assets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program of digital assets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hedging strategy aims to reduce the risk associated with the variability of future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for this purpose, to implement hedges using BTC option contracts up to 20% of the Company’s BTC compensation per month and up to three months of future BTC compensation. In April 2023, the BOD authorized Management to increase the BTC option contracts up to 50% of the Company’s BTC compensation per month and up to six months of expected future BTC compensation. As of November 6, 2023, the risk management committee has not engaged in hedging to the full extent permitted by the BOD. The Company has a hedge in place of 180 BTC of expected future BTC compensation.</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2023, the Company secured BTC option contracts to sell digital assets which resulted in a loss of nil and $0.2 million, respectively, mainly related to premiums paid for the option contracts hedging the potential risk of the BTC price decreasing and protecting the Company’s margins. Refer to Note 18 to the Financial Statements for more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Synthetic HODL program of digital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Alongside the hedging program, and with the intent to manage a more capital-efficient portfolio, in June 2023, the BOD approved a HODL strategy, referred to as a synthetic HODL strategy, which allows up to 20% of the Company’s BTC exposure to be replicated using BTC call options. In October 2023, the Company initiated its Synthetic HODL strategy with the purchase of long-dated BTC call options. The primary objective of the Synthetic HODL is to allow the Company to accumulate BTC in treasury and increase BTC exposure in a manner that is risk-managed and capital efficient. As of November 6, 2023, the Company has active call option contracts providing the right to buy up to 35 BTC. It remains within the risk management committee’s discretion to dynamically adjust Bitfarms’ hedge and synthetic HODL ratios within the risk limits approved by the BOD to more adequately respond to market factors that are beyond the Company’s operational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38  Page</w:t>
      </w:r>
    </w:p>
    <w:p>
      <w:pPr>
        <w:sectPr>
          <w:pgSz w:w="11900" w:h="16838" w:orient="portrait"/>
          <w:cols w:equalWidth="0" w:num="1">
            <w:col w:w="11240"/>
          </w:cols>
          <w:pgMar w:left="320" w:top="229" w:right="339"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contractual maturities of financial liabilities and gross lease liabilities (non-financial liabilities) with estimated future interest payments as of September 30,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2027 and</w:t>
            </w:r>
          </w:p>
        </w:tc>
        <w:tc>
          <w:tcPr>
            <w:tcW w:w="900" w:type="dxa"/>
            <w:vAlign w:val="bottom"/>
            <w:tcBorders>
              <w:top w:val="single" w:sz="8" w:color="auto"/>
            </w:tcBorders>
          </w:tcPr>
          <w:p>
            <w:pPr>
              <w:spacing w:after="0"/>
              <w:rPr>
                <w:sz w:val="18"/>
                <w:szCs w:val="18"/>
                <w:color w:val="auto"/>
              </w:rPr>
            </w:pPr>
          </w:p>
        </w:tc>
      </w:tr>
      <w:tr>
        <w:trPr>
          <w:trHeight w:val="234"/>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 in thousands)</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thereafter</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17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7,621</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7,621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6,128</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4,085</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10,213</w:t>
            </w:r>
          </w:p>
        </w:tc>
      </w:tr>
      <w:tr>
        <w:trPr>
          <w:trHeight w:val="243"/>
        </w:trPr>
        <w:tc>
          <w:tcPr>
            <w:tcW w:w="4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1,076</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4,021</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2,921</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2,765</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10,399</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21,182</w:t>
            </w:r>
          </w:p>
        </w:tc>
      </w:tr>
      <w:tr>
        <w:trPr>
          <w:trHeight w:val="237"/>
        </w:trPr>
        <w:tc>
          <w:tcPr>
            <w:tcW w:w="4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14,825</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8,106</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2,921</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2,765</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10,399</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39,016</w:t>
            </w:r>
          </w:p>
        </w:tc>
      </w:tr>
      <w:tr>
        <w:trPr>
          <w:trHeight w:val="426"/>
        </w:trPr>
        <w:tc>
          <w:tcPr>
            <w:tcW w:w="420" w:type="dxa"/>
            <w:vAlign w:val="bottom"/>
          </w:tcPr>
          <w:p>
            <w:pPr>
              <w:spacing w:after="0"/>
              <w:rPr>
                <w:sz w:val="20"/>
                <w:szCs w:val="20"/>
                <w:color w:val="auto"/>
              </w:rPr>
            </w:pPr>
            <w:r>
              <w:rPr>
                <w:rFonts w:ascii="Arial" w:cs="Arial" w:eastAsia="Arial" w:hAnsi="Arial"/>
                <w:sz w:val="18"/>
                <w:szCs w:val="18"/>
                <w:b w:val="1"/>
                <w:bCs w:val="1"/>
                <w:color w:val="auto"/>
              </w:rPr>
              <w:t>D.</w:t>
            </w:r>
          </w:p>
        </w:tc>
        <w:tc>
          <w:tcPr>
            <w:tcW w:w="3760" w:type="dxa"/>
            <w:vAlign w:val="bottom"/>
          </w:tcPr>
          <w:p>
            <w:pPr>
              <w:ind w:left="240"/>
              <w:spacing w:after="0"/>
              <w:rPr>
                <w:sz w:val="20"/>
                <w:szCs w:val="20"/>
                <w:color w:val="auto"/>
              </w:rPr>
            </w:pPr>
            <w:r>
              <w:rPr>
                <w:rFonts w:ascii="Arial" w:cs="Arial" w:eastAsia="Arial" w:hAnsi="Arial"/>
                <w:sz w:val="18"/>
                <w:szCs w:val="18"/>
                <w:b w:val="1"/>
                <w:bCs w:val="1"/>
                <w:color w:val="auto"/>
              </w:rPr>
              <w:t>Commitments</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no commitments.</w:t>
      </w:r>
    </w:p>
    <w:p>
      <w:pPr>
        <w:spacing w:after="0" w:line="221"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the Company imported Miners into Washington State, which the Chinese manufacturer asserted originated in Malaysia. In early 2022, U.S. Customs and Border Protection challenged the origination of the Miners, asserting their manufacture in China, and notified the Company of a potential assessment of a U.S. importation duty of 25%. Since the request for information by U.S. Customs and Border Protection, the Company has been working with the manufacturer to validate their origination by visiting contract manufacturer sites, and by examining and documenting the manufacture and assembly of the Miners by the manufacturer and its third-party contractors.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September 30, 2023, the Company has obtained documentary evidence of the Miners’ manufacture outside of China, and has sent the supporting documentation to the U.S. Customs and Border Protection in defense of its position that Miners were manufactured outside China and the related custom duties, in the amount of $9.4 million do not apply. While the final outcome of this matter is uncertain at this time, management has determined it is not probable that it will result in a future cash outflow for the Company and, as such, no provision was recorded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39  Page</w:t>
      </w:r>
    </w:p>
    <w:p>
      <w:pPr>
        <w:sectPr>
          <w:pgSz w:w="11900" w:h="16838" w:orient="portrait"/>
          <w:cols w:equalWidth="0" w:num="1">
            <w:col w:w="11240"/>
          </w:cols>
          <w:pgMar w:left="320" w:top="229" w:right="339"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 of September 30,</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As of December 31,</w:t>
            </w:r>
          </w:p>
        </w:tc>
        <w:tc>
          <w:tcPr>
            <w:tcW w:w="1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36"/>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83,733</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69,088</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14,645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29,686</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67,244</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(37,558)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3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Working Capital</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54,047</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1,844</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52,203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the next halving event currently anticipated to occur in April 2024, the Company places, and continues to place, importance on maintaining sufficient liquidity to manage the uncertainty and capitalize upon suitable opportunities the halving event presents. As of September 30, 2023, Bitfarms had working capital of $54.0 million, compared to $1.8 million as of December 31, 2022. The increase in working capital was mostly due to:</w:t>
      </w:r>
    </w:p>
    <w:p>
      <w:pPr>
        <w:jc w:val="both"/>
        <w:ind w:left="340" w:hanging="332"/>
        <w:spacing w:after="0" w:line="250"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extinguishment of the BlockFi loan in Q1 2023, which had an outstanding balance of $20.0 million on December 31, 2022, for a payment of $7.8 million, resulting in an increase of $12.2 million in working capital. Refer to section 10A </w:t>
      </w:r>
      <w:r>
        <w:rPr>
          <w:rFonts w:ascii="Arial" w:cs="Arial" w:eastAsia="Arial" w:hAnsi="Arial"/>
          <w:sz w:val="18"/>
          <w:szCs w:val="18"/>
          <w:i w:val="1"/>
          <w:iCs w:val="1"/>
          <w:color w:val="auto"/>
        </w:rPr>
        <w:t>- Liquidity and Capital Resources</w:t>
      </w:r>
      <w:r>
        <w:rPr>
          <w:rFonts w:ascii="Arial" w:cs="Arial" w:eastAsia="Arial" w:hAnsi="Arial"/>
          <w:sz w:val="18"/>
          <w:szCs w:val="18"/>
          <w:color w:val="auto"/>
        </w:rPr>
        <w:t xml:space="preserve"> for details on the extinguishment of the BlockFi loan.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Scheduled capital repayments of $16.4 million towards the NYDIG loan. The effect on working capital is nil as the repayments decreased the cash balance and the loan balance by corresponding amounts.</w:t>
      </w:r>
    </w:p>
    <w:p>
      <w:pPr>
        <w:ind w:left="340" w:right="20" w:hanging="332"/>
        <w:spacing w:after="0" w:line="250"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$12.3 million increase in total digital assets, including the digital assets pledged as collateral, resulting from the increase of the Company’s treasury by 298 BTC and the appreciation of the BTC price during YTD Q3 2023.</w:t>
      </w:r>
    </w:p>
    <w:p>
      <w:pPr>
        <w:jc w:val="both"/>
        <w:ind w:left="340" w:hanging="332"/>
        <w:spacing w:after="0" w:line="255"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$15.9 million increase in cash, mainly related to the issuance of 52,121,000 common shares from the ATM program, for total proceeds of $68.5 million, which were partially used for expansion projects during YTD Q3 2023 and with the remainder intended for payments for future expansion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340" w:hanging="332"/>
        <w:spacing w:after="0" w:line="250"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 decrease in short-term prepaid deposits of $8.7 million, mainly related to the impairment loss on short-term prepaid deposits of $7.0 million during YTD Q3 2023. Refer to section 7E - </w:t>
      </w:r>
      <w:r>
        <w:rPr>
          <w:rFonts w:ascii="Arial" w:cs="Arial" w:eastAsia="Arial" w:hAnsi="Arial"/>
          <w:sz w:val="18"/>
          <w:szCs w:val="18"/>
          <w:i w:val="1"/>
          <w:iCs w:val="1"/>
          <w:color w:val="auto"/>
        </w:rPr>
        <w:t>Financial Performance (Impairment).</w:t>
      </w:r>
    </w:p>
    <w:p>
      <w:pPr>
        <w:ind w:left="340" w:hanging="332"/>
        <w:spacing w:after="0"/>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decrease in taxes receivable of $7.8 million following the receipt of tax refunds for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40  Page</w:t>
      </w:r>
    </w:p>
    <w:p>
      <w:pPr>
        <w:sectPr>
          <w:pgSz w:w="11900" w:h="16838" w:orient="portrait"/>
          <w:cols w:equalWidth="0" w:num="1">
            <w:col w:w="11240"/>
          </w:cols>
          <w:pgMar w:left="320" w:top="229" w:right="339"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POSITION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 of September 30,</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As of December 31,</w:t>
            </w:r>
          </w:p>
        </w:tc>
        <w:tc>
          <w:tcPr>
            <w:tcW w:w="1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111,051</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142,654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USA</w:t>
            </w:r>
          </w:p>
        </w:tc>
        <w:tc>
          <w:tcPr>
            <w:tcW w:w="3540" w:type="dxa"/>
            <w:vAlign w:val="bottom"/>
          </w:tcPr>
          <w:p>
            <w:pPr>
              <w:jc w:val="right"/>
              <w:ind w:right="30"/>
              <w:spacing w:after="0"/>
              <w:rPr>
                <w:sz w:val="20"/>
                <w:szCs w:val="20"/>
                <w:color w:val="auto"/>
              </w:rPr>
            </w:pPr>
            <w:r>
              <w:rPr>
                <w:rFonts w:ascii="Arial" w:cs="Arial" w:eastAsia="Arial" w:hAnsi="Arial"/>
                <w:sz w:val="18"/>
                <w:szCs w:val="18"/>
                <w:b w:val="1"/>
                <w:bCs w:val="1"/>
                <w:color w:val="auto"/>
              </w:rPr>
              <w:t>23,527</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32,664</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(9,137)</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Argentina</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58,507</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31,927</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26,580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Paraguay</w:t>
            </w:r>
          </w:p>
        </w:tc>
        <w:tc>
          <w:tcPr>
            <w:tcW w:w="3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10,367</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12,183</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400" w:type="dxa"/>
            <w:vAlign w:val="bottom"/>
            <w:tcBorders>
              <w:bottom w:val="single" w:sz="8" w:color="auto"/>
            </w:tcBorders>
            <w:shd w:val="clear" w:color="auto" w:fill="CCEEFF"/>
          </w:tcPr>
          <w:p>
            <w:pPr>
              <w:spacing w:after="0"/>
              <w:rPr>
                <w:sz w:val="18"/>
                <w:szCs w:val="18"/>
                <w:color w:val="auto"/>
              </w:rPr>
            </w:pPr>
          </w:p>
        </w:tc>
        <w:tc>
          <w:tcPr>
            <w:tcW w:w="3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203,452</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219,428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(15,976)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Bitfarms had PPE of $203.5 million, compared to $219.4 million as of December 31, 2022. The decrease of $16.0 million, or 7%, was primarily due to the $31.6 million decrease of PPE in Canada, mainly relating to depreciation expense. PPE in the USA and Paraguay decreased by $9.1 million and $1.8 million, respectively, mostly due to depreciation expense incurred on Miners. These decreases were partially offset by the $26.6 million increase in Argentina PPE primarily due to the delivery of approximately 12,600 Miners in YTD Q3 2023.</w:t>
      </w:r>
    </w:p>
    <w:p>
      <w:pPr>
        <w:spacing w:after="0" w:line="167"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Bitfarms had intangible assets of $3.8 million, compared to $33,000 as of December 31, 2022. The $3.8 million increase is mainly due to the Company’s three acquisitions of groups of assets in Quebec and Paraguay during the three and nine months ended September 30, 2023. Each of those acquisitions of groups of assets resulted in contractual access rights to hydro power electricity.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those access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(U.S.$ in thousands</w:t>
            </w:r>
          </w:p>
        </w:tc>
        <w:tc>
          <w:tcPr>
            <w:tcW w:w="2300" w:type="dxa"/>
            <w:vAlign w:val="bottom"/>
          </w:tcPr>
          <w:p>
            <w:pPr>
              <w:jc w:val="right"/>
              <w:ind w:right="430"/>
              <w:spacing w:after="0"/>
              <w:rPr>
                <w:sz w:val="20"/>
                <w:szCs w:val="20"/>
                <w:color w:val="auto"/>
              </w:rPr>
            </w:pPr>
            <w:r>
              <w:rPr>
                <w:rFonts w:ascii="Arial" w:cs="Arial" w:eastAsia="Arial" w:hAnsi="Arial"/>
                <w:sz w:val="18"/>
                <w:szCs w:val="18"/>
                <w:b w:val="1"/>
                <w:bCs w:val="1"/>
                <w:color w:val="auto"/>
              </w:rPr>
              <w:t>Additions to</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4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Term of contractual</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Amortization method</w:t>
            </w:r>
          </w:p>
        </w:tc>
      </w:tr>
      <w:tr>
        <w:trPr>
          <w:trHeight w:val="23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except where indicated)</w:t>
            </w: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intangibles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24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3"/>
              </w:rPr>
              <w:t>access rights</w:t>
            </w:r>
          </w:p>
        </w:tc>
        <w:tc>
          <w:tcPr>
            <w:tcW w:w="22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and period</w:t>
            </w:r>
          </w:p>
        </w:tc>
      </w:tr>
      <w:tr>
        <w:trPr>
          <w:trHeight w:val="195"/>
        </w:trPr>
        <w:tc>
          <w:tcPr>
            <w:tcW w:w="2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Baie-Comeau, Quebec</w:t>
            </w:r>
          </w:p>
        </w:tc>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20" w:type="dxa"/>
            <w:vAlign w:val="bottom"/>
            <w:shd w:val="clear" w:color="auto" w:fill="CCEEFF"/>
          </w:tcPr>
          <w:p>
            <w:pPr>
              <w:jc w:val="center"/>
              <w:ind w:left="250"/>
              <w:spacing w:after="0" w:line="195" w:lineRule="exact"/>
              <w:rPr>
                <w:sz w:val="20"/>
                <w:szCs w:val="20"/>
                <w:color w:val="auto"/>
              </w:rPr>
            </w:pPr>
            <w:r>
              <w:rPr>
                <w:rFonts w:ascii="Arial" w:cs="Arial" w:eastAsia="Arial" w:hAnsi="Arial"/>
                <w:sz w:val="18"/>
                <w:szCs w:val="18"/>
                <w:color w:val="auto"/>
                <w:w w:val="91"/>
              </w:rPr>
              <w:t>No termination date</w:t>
            </w:r>
          </w:p>
        </w:tc>
        <w:tc>
          <w:tcPr>
            <w:tcW w:w="2260" w:type="dxa"/>
            <w:vAlign w:val="bottom"/>
            <w:shd w:val="clear" w:color="auto" w:fill="CCEEFF"/>
          </w:tcPr>
          <w:p>
            <w:pPr>
              <w:jc w:val="center"/>
              <w:ind w:left="30"/>
              <w:spacing w:after="0" w:line="195" w:lineRule="exact"/>
              <w:rPr>
                <w:sz w:val="20"/>
                <w:szCs w:val="20"/>
                <w:color w:val="auto"/>
              </w:rPr>
            </w:pPr>
            <w:r>
              <w:rPr>
                <w:rFonts w:ascii="Arial" w:cs="Arial" w:eastAsia="Arial" w:hAnsi="Arial"/>
                <w:sz w:val="18"/>
                <w:szCs w:val="18"/>
                <w:color w:val="auto"/>
                <w:w w:val="90"/>
              </w:rPr>
              <w:t>Straight-line over the lease</w:t>
            </w:r>
          </w:p>
        </w:tc>
      </w:tr>
      <w:tr>
        <w:trPr>
          <w:trHeight w:val="230"/>
        </w:trPr>
        <w:tc>
          <w:tcPr>
            <w:tcW w:w="2540" w:type="dxa"/>
            <w:vAlign w:val="bottom"/>
            <w:shd w:val="clear" w:color="auto" w:fill="CCEEFF"/>
          </w:tcPr>
          <w:p>
            <w:pPr>
              <w:spacing w:after="0"/>
              <w:rPr>
                <w:sz w:val="20"/>
                <w:szCs w:val="20"/>
                <w:color w:val="auto"/>
              </w:rPr>
            </w:pPr>
          </w:p>
        </w:tc>
        <w:tc>
          <w:tcPr>
            <w:tcW w:w="2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2,315</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 MW</w:t>
            </w:r>
          </w:p>
        </w:tc>
        <w:tc>
          <w:tcPr>
            <w:tcW w:w="24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term of the facility</w:t>
            </w: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Villarrica, Paraguay</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2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91"/>
              </w:rPr>
              <w:t>Ending in December 31,</w:t>
            </w:r>
          </w:p>
        </w:tc>
        <w:tc>
          <w:tcPr>
            <w:tcW w:w="226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Straight-line over the access</w:t>
            </w:r>
          </w:p>
        </w:tc>
      </w:tr>
      <w:tr>
        <w:trPr>
          <w:trHeight w:val="230"/>
        </w:trPr>
        <w:tc>
          <w:tcPr>
            <w:tcW w:w="2540" w:type="dxa"/>
            <w:vAlign w:val="bottom"/>
          </w:tcPr>
          <w:p>
            <w:pPr>
              <w:spacing w:after="0"/>
              <w:rPr>
                <w:sz w:val="20"/>
                <w:szCs w:val="20"/>
                <w:color w:val="auto"/>
              </w:rPr>
            </w:pP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1,065</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50 MW</w:t>
            </w:r>
          </w:p>
        </w:tc>
        <w:tc>
          <w:tcPr>
            <w:tcW w:w="2420" w:type="dxa"/>
            <w:vAlign w:val="bottom"/>
          </w:tcPr>
          <w:p>
            <w:pPr>
              <w:jc w:val="center"/>
              <w:ind w:left="250"/>
              <w:spacing w:after="0"/>
              <w:rPr>
                <w:sz w:val="20"/>
                <w:szCs w:val="20"/>
                <w:color w:val="auto"/>
              </w:rPr>
            </w:pPr>
            <w:r>
              <w:rPr>
                <w:rFonts w:ascii="Arial" w:cs="Arial" w:eastAsia="Arial" w:hAnsi="Arial"/>
                <w:sz w:val="18"/>
                <w:szCs w:val="18"/>
                <w:color w:val="auto"/>
                <w:w w:val="89"/>
              </w:rPr>
              <w:t>2027</w:t>
            </w:r>
          </w:p>
        </w:tc>
        <w:tc>
          <w:tcPr>
            <w:tcW w:w="2260" w:type="dxa"/>
            <w:vAlign w:val="bottom"/>
          </w:tcPr>
          <w:p>
            <w:pPr>
              <w:jc w:val="center"/>
              <w:ind w:left="50"/>
              <w:spacing w:after="0"/>
              <w:rPr>
                <w:sz w:val="20"/>
                <w:szCs w:val="20"/>
                <w:color w:val="auto"/>
              </w:rPr>
            </w:pPr>
            <w:r>
              <w:rPr>
                <w:rFonts w:ascii="Arial" w:cs="Arial" w:eastAsia="Arial" w:hAnsi="Arial"/>
                <w:sz w:val="18"/>
                <w:szCs w:val="18"/>
                <w:color w:val="auto"/>
                <w:w w:val="92"/>
              </w:rPr>
              <w:t>rights period</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Yguazu, Paraguay</w:t>
            </w:r>
          </w:p>
        </w:tc>
        <w:tc>
          <w:tcPr>
            <w:tcW w:w="23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20" w:type="dxa"/>
            <w:vAlign w:val="bottom"/>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91"/>
              </w:rPr>
              <w:t>Ending in December 31,</w:t>
            </w:r>
          </w:p>
        </w:tc>
        <w:tc>
          <w:tcPr>
            <w:tcW w:w="226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9"/>
              </w:rPr>
              <w:t>Straight-line over the access</w:t>
            </w:r>
          </w:p>
        </w:tc>
      </w:tr>
      <w:tr>
        <w:trPr>
          <w:trHeight w:val="257"/>
        </w:trPr>
        <w:tc>
          <w:tcPr>
            <w:tcW w:w="254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421</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100 MW</w:t>
            </w:r>
          </w:p>
        </w:tc>
        <w:tc>
          <w:tcPr>
            <w:tcW w:w="24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2027</w:t>
            </w:r>
          </w:p>
        </w:tc>
        <w:tc>
          <w:tcPr>
            <w:tcW w:w="226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rights period</w:t>
            </w:r>
          </w:p>
        </w:tc>
      </w:tr>
      <w:tr>
        <w:trPr>
          <w:trHeight w:val="237"/>
        </w:trPr>
        <w:tc>
          <w:tcPr>
            <w:tcW w:w="25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3,801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172 MW</w:t>
            </w:r>
          </w:p>
        </w:tc>
        <w:tc>
          <w:tcPr>
            <w:tcW w:w="2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5 and 10 to the Financial Statements for more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discloses information on the classification and fair value of its financial instruments, as well as on the nature and extent of risks arising from financial instruments, and related risk management in Note 18 to the Financial Statements and Note 22 to the 2022 Annual Financial Statements. Risks are related to foreign currency, credit, counterparty, liquidity, and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41  Page</w:t>
      </w:r>
    </w:p>
    <w:p>
      <w:pPr>
        <w:sectPr>
          <w:pgSz w:w="11900" w:h="16838" w:orient="portrait"/>
          <w:cols w:equalWidth="0" w:num="1">
            <w:col w:w="11240"/>
          </w:cols>
          <w:pgMar w:left="320" w:top="229" w:right="339"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discloses information on its related party transactions, as defined in IAS 24,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in Note 19 to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46" w:lineRule="exact"/>
        <w:rPr>
          <w:sz w:val="20"/>
          <w:szCs w:val="20"/>
          <w:color w:val="auto"/>
        </w:rPr>
      </w:pPr>
    </w:p>
    <w:p>
      <w:pPr>
        <w:ind w:firstLine="8"/>
        <w:spacing w:after="0" w:line="277" w:lineRule="auto"/>
        <w:tabs>
          <w:tab w:leader="none" w:pos="1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material information relating to the Company is made known to them by others, particularly during the period in which the annual filings are being prepared; and</w:t>
      </w:r>
    </w:p>
    <w:p>
      <w:pPr>
        <w:spacing w:after="0" w:line="170" w:lineRule="exact"/>
        <w:rPr>
          <w:rFonts w:ascii="Arial" w:cs="Arial" w:eastAsia="Arial" w:hAnsi="Arial"/>
          <w:sz w:val="18"/>
          <w:szCs w:val="18"/>
          <w:color w:val="auto"/>
        </w:rPr>
      </w:pPr>
    </w:p>
    <w:p>
      <w:pPr>
        <w:ind w:firstLine="8"/>
        <w:spacing w:after="0" w:line="277" w:lineRule="auto"/>
        <w:tabs>
          <w:tab w:leader="none" w:pos="22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w:t>
      </w:r>
    </w:p>
    <w:p>
      <w:pPr>
        <w:spacing w:after="0" w:line="183"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changes in the Company’s ICFR that have materially affected, or are reasonably likely to materially affect, the Company’s ICFR during the period beginning on July 1, 2023 and ended September 30, 2023.</w:t>
      </w:r>
    </w:p>
    <w:p>
      <w:pPr>
        <w:spacing w:after="0" w:line="16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DC&amp;P and ICFR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control systems contain inherent limitations, no matter how well designed. As a result, the Company’s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CAPITAL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the date of this MD&amp;A, the Company has 277,684,000 common shares outstanding, 9,974,000 vested and 9,026,000 unvested stock options, 19,153,000 warrants outstanding and 258,000 restricted stock units. There are no preferred shares or any other classes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42  Page</w:t>
      </w:r>
    </w:p>
    <w:p>
      <w:pPr>
        <w:sectPr>
          <w:pgSz w:w="11900" w:h="16838" w:orient="portrait"/>
          <w:cols w:equalWidth="0" w:num="1">
            <w:col w:w="11240"/>
          </w:cols>
          <w:pgMar w:left="320" w:top="229" w:right="339"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risks and uncertainties that Management considers as the most material to the Company’s business are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Management’s Discussion and Analysis for the year ended December 31, 2022, dated March 20, 2023. These risks and uncertainties have not materially changed in the nine months ended September 30, 2023, other than the risk described below, and hereby incorporated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actively engages in hedging practices with respect to its cryptocurrency holdings to lessen the impact of BTC volatility on the Company’s results of operations and financial condition and to optimize cryptocurrency monetization. Although hedging activities are undertaken on a risk adjusted basis, there can be no certainty that such activities will be profitable and these activities could result in significant losses. Hedging operates as a complement to BTC Mining, and to BTC holding through its Digital Asset Management Program. The effectiveness of the hedging relationship should be evaluated alongside the Company’s Mining performance. 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a company with operations in emerging markets entails certain inherit risks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43  Page</w:t>
      </w:r>
    </w:p>
    <w:p>
      <w:pPr>
        <w:sectPr>
          <w:pgSz w:w="11900" w:h="16838" w:orient="portrait"/>
          <w:cols w:equalWidth="0" w:num="1">
            <w:col w:w="11240"/>
          </w:cols>
          <w:pgMar w:left="320" w:top="229" w:right="339"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Investing in a company with operations in emerging market entails certain inherit risks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Argentina and/or Paraguay may experience economic volatility and other challenges that could affect the Company’s business, financial condition and result of operations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The economies of Argentina and Paraguay are vulnerable to external shocks caused by significant economic difficulties of their respective trading partners or by more general “contagion” effects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44  Page</w:t>
      </w:r>
    </w:p>
    <w:p>
      <w:pPr>
        <w:sectPr>
          <w:pgSz w:w="11900" w:h="16838" w:orient="portrait"/>
          <w:cols w:equalWidth="0" w:num="1">
            <w:col w:w="11240"/>
          </w:cols>
          <w:pgMar w:left="320" w:top="229" w:right="339"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 xml:space="preserve">The economies in Argentina and Paraguay are vulnerable to external shocks caused by significant economic difficulties of their respective trading partners or by more general “contagion” effects </w:t>
      </w:r>
      <w:r>
        <w:rPr>
          <w:rFonts w:ascii="Arial" w:cs="Arial" w:eastAsia="Arial" w:hAnsi="Arial"/>
          <w:sz w:val="18"/>
          <w:szCs w:val="18"/>
          <w:color w:val="auto"/>
        </w:rPr>
        <w:t>(Continued)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economic conditions of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Company conducts operations in countries known to experience high levels of corruption, and any violation of anti-corruption laws could subject us to penalties and other adverse consequences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45  Page</w:t>
      </w:r>
    </w:p>
    <w:p>
      <w:pPr>
        <w:sectPr>
          <w:pgSz w:w="11900" w:h="16838" w:orient="portrait"/>
          <w:cols w:equalWidth="0" w:num="1">
            <w:col w:w="11240"/>
          </w:cols>
          <w:pgMar w:left="320" w:top="229" w:right="339"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after that the government submitted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Bankruptcy, or Cessation of Operations of Mining Pool Operator</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(“Genesis”).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the Company is unable to effect a switch of its operations in a timely manner and experience significant down time from mining operations, it may experience a material adverse change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46  Page</w:t>
      </w:r>
    </w:p>
    <w:p>
      <w:pPr>
        <w:sectPr>
          <w:pgSz w:w="11900" w:h="16838" w:orient="portrait"/>
          <w:cols w:equalWidth="0" w:num="1">
            <w:col w:w="11240"/>
          </w:cols>
          <w:pgMar w:left="320" w:top="229" w:right="339"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Mining Risks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the even the Company decides to cease participating in a Mining Pool and conduct Mining operations independently, it may be exposed to certain risks; however, it may achieve marginally greater revenues by doing so. Refer to Section 2 - </w:t>
      </w:r>
      <w:r>
        <w:rPr>
          <w:rFonts w:ascii="Arial" w:cs="Arial" w:eastAsia="Arial" w:hAnsi="Arial"/>
          <w:sz w:val="18"/>
          <w:szCs w:val="18"/>
          <w:i w:val="1"/>
          <w:iCs w:val="1"/>
          <w:color w:val="auto"/>
        </w:rPr>
        <w:t>Company Overview</w:t>
      </w:r>
      <w:r>
        <w:rPr>
          <w:rFonts w:ascii="Arial" w:cs="Arial" w:eastAsia="Arial" w:hAnsi="Arial"/>
          <w:sz w:val="18"/>
          <w:szCs w:val="18"/>
          <w:color w:val="auto"/>
        </w:rPr>
        <w:t>. The primary risk of conducting independent Mining is that the Company could experience a protracted period of failing to solve any blocks, causing a disruption in its revenue stream. In such a circumstance, the Company may need to borrow capital to continue operations.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June 2022, the Company entered into a master equipment finance agreement (the “NYDIG Loan”) between the Company and NYDIG ABL LLC (“NYDIG”),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Mining Pool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Foreign Mining Pool Operator</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risk factor </w:t>
      </w:r>
      <w:r>
        <w:rPr>
          <w:rFonts w:ascii="Arial" w:cs="Arial" w:eastAsia="Arial" w:hAnsi="Arial"/>
          <w:sz w:val="18"/>
          <w:szCs w:val="18"/>
          <w:i w:val="1"/>
          <w:iCs w:val="1"/>
          <w:color w:val="auto"/>
        </w:rPr>
        <w:t>Insolvency, Bankruptcy, or Cessation of Operations of Mining Pool Operator</w:t>
      </w:r>
      <w:r>
        <w:rPr>
          <w:rFonts w:ascii="Arial" w:cs="Arial" w:eastAsia="Arial" w:hAnsi="Arial"/>
          <w:sz w:val="18"/>
          <w:szCs w:val="18"/>
          <w:color w:val="auto"/>
        </w:rPr>
        <w:t xml:space="preserve"> above.</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47  Page</w:t>
      </w:r>
    </w:p>
    <w:p>
      <w:pPr>
        <w:sectPr>
          <w:pgSz w:w="11900" w:h="16838" w:orient="portrait"/>
          <w:cols w:equalWidth="0" w:num="1">
            <w:col w:w="11240"/>
          </w:cols>
          <w:pgMar w:left="320" w:top="229" w:right="339"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Pool Agreements Governed by Foreign Laws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Reliance on Manufacturing in Foreign Countries and the Importation of Equipment to the Jurisdictions in Which the Company Operates</w:t>
      </w:r>
    </w:p>
    <w:p>
      <w:pPr>
        <w:spacing w:after="0" w:line="3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48  Page</w:t>
      </w:r>
    </w:p>
    <w:p>
      <w:pPr>
        <w:sectPr>
          <w:pgSz w:w="11900" w:h="16838" w:orient="portrait"/>
          <w:cols w:equalWidth="0" w:num="1">
            <w:col w:w="11240"/>
          </w:cols>
          <w:pgMar w:left="320" w:top="229" w:right="339"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SIGNIFICANT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significant accounting judgments, estimates and assumptions are summarized in Note 4 to the Company’s 2022 Annual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SIGNIFICANT ACCOUNTING POLICIES AND NEW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3 to the 2022 Annual Financial Statements and Note 3 to the Financial Statements for more information regarding the Company’s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49  Page</w:t>
      </w:r>
    </w:p>
    <w:p>
      <w:pPr>
        <w:sectPr>
          <w:pgSz w:w="11900" w:h="16838" w:orient="portrait"/>
          <w:cols w:equalWidth="0" w:num="1">
            <w:col w:w="11240"/>
          </w:cols>
          <w:pgMar w:left="320" w:top="229" w:right="339"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CAUTIONARY NOTE REGARDING FORWARD-LOOKING STATEMENTS </w:t>
      </w:r>
      <w:r>
        <w:rPr>
          <w:rFonts w:ascii="Arial" w:cs="Arial" w:eastAsia="Arial" w:hAnsi="Arial"/>
          <w:sz w:val="18"/>
          <w:szCs w:val="18"/>
          <w:color w:val="auto"/>
        </w:rPr>
        <w:t>(Continued)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03"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BTC Halving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BTC price and BTC network difficulty;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dependency on continued growth in blockchain and cryptocurrency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reliance on manufacturing in foreign countries and the importation of equipment to the jurisdictions in which the company operates;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increases in commodity prices or reductions in the availability of such commodities could adversely impact the Company’s results of operations;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adoption of environmental, social, and governance practices and the impacts of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third-party supplier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section “Risk Factors” of the Annual Information Form of the Company dated March 20, 2023.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50  Page</w:t>
      </w:r>
    </w:p>
    <w:p>
      <w:pPr>
        <w:sectPr>
          <w:pgSz w:w="11900" w:h="16838" w:orient="portrait"/>
          <w:cols w:equalWidth="0" w:num="1">
            <w:col w:w="11240"/>
          </w:cols>
          <w:pgMar w:left="320" w:top="229" w:right="339"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CAUTIONARY NOTE REGARDING NON-IFRS AND OTHER FINANCIAL MEASURES AND RATIOS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w:t>
      </w:r>
    </w:p>
    <w:p>
      <w:pPr>
        <w:spacing w:after="0" w:line="2" w:lineRule="exact"/>
        <w:rPr>
          <w:sz w:val="20"/>
          <w:szCs w:val="20"/>
          <w:color w:val="auto"/>
        </w:rPr>
      </w:pPr>
    </w:p>
    <w:p>
      <w:pPr>
        <w:ind w:left="120" w:hanging="112"/>
        <w:spacing w:after="0"/>
        <w:tabs>
          <w:tab w:leader="none" w:pos="1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Non-IFRS and Other Financial Measures and Ratios </w:t>
      </w:r>
      <w:r>
        <w:rPr>
          <w:rFonts w:ascii="Arial" w:cs="Arial" w:eastAsia="Arial" w:hAnsi="Arial"/>
          <w:sz w:val="18"/>
          <w:szCs w:val="18"/>
          <w:color w:val="auto"/>
        </w:rPr>
        <w:t>of the MD&amp;A for more details.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ADDITIONAL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and other publicly filed documents relating to the Company, including the Company’s Annual Information Form,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51  Page</w:t>
      </w:r>
    </w:p>
    <w:p>
      <w:pPr>
        <w:sectPr>
          <w:pgSz w:w="11900" w:h="16838" w:orient="portrait"/>
          <w:cols w:equalWidth="0" w:num="1">
            <w:col w:w="11240"/>
          </w:cols>
          <w:pgMar w:left="320" w:top="229" w:right="339"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Terms</w:t>
            </w:r>
          </w:p>
        </w:tc>
        <w:tc>
          <w:tcPr>
            <w:tcW w:w="9560" w:type="dxa"/>
            <w:vAlign w:val="bottom"/>
            <w:gridSpan w:val="2"/>
          </w:tcPr>
          <w:p>
            <w:pPr>
              <w:ind w:left="580"/>
              <w:spacing w:after="0"/>
              <w:rPr>
                <w:sz w:val="20"/>
                <w:szCs w:val="20"/>
                <w:color w:val="auto"/>
              </w:rPr>
            </w:pPr>
            <w:r>
              <w:rPr>
                <w:rFonts w:ascii="Arial" w:cs="Arial" w:eastAsia="Arial" w:hAnsi="Arial"/>
                <w:sz w:val="18"/>
                <w:szCs w:val="18"/>
                <w:b w:val="1"/>
                <w:bCs w:val="1"/>
                <w:color w:val="auto"/>
              </w:rPr>
              <w:t>Definition</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ASIC</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2"/>
              </w:rPr>
              <w:t>ASIC stands for Application Specific Integrated Circuit and refers primarily to specific computer devices designed to solve</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the SHA-256 algorithm.</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Bitcoin (BTC)</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6"/>
              </w:rPr>
              <w:t>BTC is a decentralized digital currency that is not controlled by any centralized authority (e.g. a government, financial</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institution or regulatory organization) that can be sent from user to user on the BTC network without the need for</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1"/>
              </w:rPr>
              <w:t>intermediaries to clear transactions. Transactions are verified through the process of Mining and recorded in a public ledger</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7"/>
              </w:rPr>
              <w:t>known as the Blockchain. BTC is created when the BTC network issues Block Rewards through the Mining process.</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Block Reward</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3"/>
              </w:rPr>
              <w:t>A BTC block reward refers to the new BTC that are awarded by the Blockchain network to eligible cryptocurrency Miners</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for each block they successfully mine. The current block reward is 6.25 BTC per block.</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Blockchain</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9"/>
              </w:rPr>
              <w:t>A Blockchain is a cloud-based public ledger that exists on computers that participate on the network globally. The</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3"/>
              </w:rPr>
              <w:t>Blockchain grows as new sets of data, or ‘blocks’, are added to it through Mining. Each block contains a timestamp and a</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0"/>
              </w:rPr>
              <w:t>link to the previous block, such that the series of blocks form a continuous chain. Given that each block has a separate hash</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7"/>
              </w:rPr>
              <w:t>and each hash requires information from the previous block, altering information an established block would require</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3"/>
              </w:rPr>
              <w:t>recalculating all the hashes on the Blockchain which would require an enormous and impracticable amount of computing</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power. As a result, once a block is added to the Blockchain it is very difficult to edit and impossible to delete.</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spacing w:after="0"/>
              <w:rPr>
                <w:sz w:val="20"/>
                <w:szCs w:val="20"/>
                <w:color w:val="auto"/>
              </w:rPr>
            </w:pPr>
            <w:r>
              <w:rPr>
                <w:rFonts w:ascii="Arial" w:cs="Arial" w:eastAsia="Arial" w:hAnsi="Arial"/>
                <w:sz w:val="18"/>
                <w:szCs w:val="18"/>
                <w:b w:val="1"/>
                <w:bCs w:val="1"/>
                <w:color w:val="auto"/>
              </w:rPr>
              <w:t>Exahash</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One quintillion (1,000,000,000,000,000,000) hashes per second or one million Terahash.</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Hash</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1"/>
              </w:rPr>
              <w:t>A hash is a function that converts or maps an input of letters and numbers into an encrypted output of a fixed length, which</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2"/>
              </w:rPr>
              <w:t>outputs are often referred to as hashes. A hash is created using an algorithm. The algorithm used in the validation of BTC</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transactions is the SHA-256 algorithm.</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Hashrate</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3"/>
              </w:rPr>
              <w:t>Hashrate refers to the number of hash operations performed per second and is a measure of computing power in Mining</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cryptocurrency.</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Megawatt</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5"/>
              </w:rPr>
              <w:t>A megawatt is 1,000 kilowatts of electricity and, in the industry of cryptocurrency Mining, is typically a reference to the</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number of megawatts of electricity per hour that is available for use.</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spacing w:after="0"/>
              <w:rPr>
                <w:sz w:val="20"/>
                <w:szCs w:val="20"/>
                <w:color w:val="auto"/>
              </w:rPr>
            </w:pPr>
            <w:r>
              <w:rPr>
                <w:rFonts w:ascii="Arial" w:cs="Arial" w:eastAsia="Arial" w:hAnsi="Arial"/>
                <w:sz w:val="18"/>
                <w:szCs w:val="18"/>
                <w:b w:val="1"/>
                <w:bCs w:val="1"/>
                <w:color w:val="auto"/>
              </w:rPr>
              <w:t>Miners</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ASICs used by the Company to perform Mining.</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Mining</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3"/>
              </w:rPr>
              <w:t>Mining refers to the process of using specialized computer hardware, and in the case of the Company, ASICs, to perform</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6"/>
              </w:rPr>
              <w:t>mathematical calculations to confirm transactions and increase security for the BTC Blockchain. As a reward for their</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5"/>
              </w:rPr>
              <w:t>services, BTC Miners collect transaction fees for the transactions they confirm, along with newly created BTC as Block</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Rewards.</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b w:val="1"/>
                <w:bCs w:val="1"/>
                <w:color w:val="auto"/>
              </w:rPr>
              <w:t>Mining Pool</w:t>
            </w: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1"/>
              </w:rPr>
              <w:t>A Mining pool is a group of cryptocurrency Miners who pool their computational resources, or hashrate, in order to increase</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w w:val="95"/>
              </w:rPr>
              <w:t>the probability of finding a block on the BTC Blockchain. Mining pools administer regular payouts to mitigate the risk of</w:t>
            </w:r>
          </w:p>
        </w:tc>
      </w:tr>
      <w:tr>
        <w:trPr>
          <w:trHeight w:val="230"/>
        </w:trPr>
        <w:tc>
          <w:tcPr>
            <w:tcW w:w="1680" w:type="dxa"/>
            <w:vAlign w:val="bottom"/>
          </w:tcPr>
          <w:p>
            <w:pPr>
              <w:spacing w:after="0"/>
              <w:rPr>
                <w:sz w:val="20"/>
                <w:szCs w:val="20"/>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auto"/>
              </w:rPr>
              <w:t>Miners operating for a prolonged period of time without finding a block.</w:t>
            </w:r>
          </w:p>
        </w:tc>
      </w:tr>
      <w:tr>
        <w:trPr>
          <w:trHeight w:val="27"/>
        </w:trPr>
        <w:tc>
          <w:tcPr>
            <w:tcW w:w="16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433"/>
        </w:trPr>
        <w:tc>
          <w:tcPr>
            <w:tcW w:w="16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9020" w:type="dxa"/>
            <w:vAlign w:val="bottom"/>
            <w:tcBorders>
              <w:right w:val="single" w:sz="8" w:color="auto"/>
            </w:tcBorders>
          </w:tcPr>
          <w:p>
            <w:pPr>
              <w:ind w:left="8760"/>
              <w:spacing w:after="0"/>
              <w:rPr>
                <w:sz w:val="20"/>
                <w:szCs w:val="20"/>
                <w:color w:val="auto"/>
              </w:rPr>
            </w:pPr>
            <w:r>
              <w:rPr>
                <w:rFonts w:ascii="Arial" w:cs="Arial" w:eastAsia="Arial" w:hAnsi="Arial"/>
                <w:sz w:val="18"/>
                <w:szCs w:val="18"/>
                <w:color w:val="auto"/>
              </w:rPr>
              <w:t>52</w:t>
            </w:r>
          </w:p>
        </w:tc>
        <w:tc>
          <w:tcPr>
            <w:tcW w:w="540" w:type="dxa"/>
            <w:vAlign w:val="bottom"/>
          </w:tcPr>
          <w:p>
            <w:pPr>
              <w:ind w:left="6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229" w:right="339"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GLOSSARY OF TERMS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Terms</w:t>
            </w:r>
          </w:p>
        </w:tc>
        <w:tc>
          <w:tcPr>
            <w:tcW w:w="9380" w:type="dxa"/>
            <w:vAlign w:val="bottom"/>
            <w:gridSpan w:val="2"/>
          </w:tcPr>
          <w:p>
            <w:pPr>
              <w:ind w:left="400"/>
              <w:spacing w:after="0"/>
              <w:rPr>
                <w:sz w:val="20"/>
                <w:szCs w:val="20"/>
                <w:color w:val="auto"/>
              </w:rPr>
            </w:pPr>
            <w:r>
              <w:rPr>
                <w:rFonts w:ascii="Arial" w:cs="Arial" w:eastAsia="Arial" w:hAnsi="Arial"/>
                <w:sz w:val="18"/>
                <w:szCs w:val="18"/>
                <w:b w:val="1"/>
                <w:bCs w:val="1"/>
                <w:color w:val="auto"/>
              </w:rPr>
              <w:t>Definition</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b w:val="1"/>
                <w:bCs w:val="1"/>
                <w:color w:val="auto"/>
              </w:rPr>
              <w:t>Network Difficulty</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w w:val="93"/>
              </w:rPr>
              <w:t>Network difficulty is a unitless measure of how difficult it is to find a hash below a given target. The BTC network protocol</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w w:val="92"/>
              </w:rPr>
              <w:t>automatically adjusts Network Difficulty by changing the target every 2,016 blocks hashed based on the time it took for the</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w w:val="95"/>
              </w:rPr>
              <w:t>total computing power used in BTC Mining to solve the previous 2,016 blocks such that the average time to solve each</w:t>
            </w:r>
          </w:p>
        </w:tc>
      </w:tr>
      <w:tr>
        <w:trPr>
          <w:trHeight w:val="230"/>
        </w:trPr>
        <w:tc>
          <w:tcPr>
            <w:tcW w:w="1860" w:type="dxa"/>
            <w:vAlign w:val="bottom"/>
          </w:tcPr>
          <w:p>
            <w:pPr>
              <w:spacing w:after="0"/>
              <w:rPr>
                <w:sz w:val="20"/>
                <w:szCs w:val="20"/>
                <w:color w:val="auto"/>
              </w:rPr>
            </w:pP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block is ten minutes.</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b w:val="1"/>
                <w:bCs w:val="1"/>
                <w:color w:val="auto"/>
              </w:rPr>
              <w:t>Network Hashrate</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Network hashrate refers to the total global hashrate (and related computing power) used in Mining for a given</w:t>
            </w:r>
          </w:p>
        </w:tc>
      </w:tr>
      <w:tr>
        <w:trPr>
          <w:trHeight w:val="230"/>
        </w:trPr>
        <w:tc>
          <w:tcPr>
            <w:tcW w:w="1860" w:type="dxa"/>
            <w:vAlign w:val="bottom"/>
          </w:tcPr>
          <w:p>
            <w:pPr>
              <w:spacing w:after="0"/>
              <w:rPr>
                <w:sz w:val="20"/>
                <w:szCs w:val="20"/>
                <w:color w:val="auto"/>
              </w:rPr>
            </w:pP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cryptocurrency.</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Arial" w:cs="Arial" w:eastAsia="Arial" w:hAnsi="Arial"/>
                <w:sz w:val="18"/>
                <w:szCs w:val="18"/>
                <w:b w:val="1"/>
                <w:bCs w:val="1"/>
                <w:color w:val="auto"/>
              </w:rPr>
              <w:t>Petahash</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One quadrillion (1,000,000,000,000,000) hashes per second or one thousand Terahash.</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b w:val="1"/>
                <w:bCs w:val="1"/>
                <w:color w:val="auto"/>
              </w:rPr>
              <w:t>SHA-256</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w w:val="92"/>
              </w:rPr>
              <w:t>SHA stands for Secure Hash Algorithm. The SHA-256 algorithm was designed by the US National Security Agency and is</w:t>
            </w:r>
          </w:p>
        </w:tc>
      </w:tr>
      <w:tr>
        <w:trPr>
          <w:trHeight w:val="230"/>
        </w:trPr>
        <w:tc>
          <w:tcPr>
            <w:tcW w:w="1860" w:type="dxa"/>
            <w:vAlign w:val="bottom"/>
          </w:tcPr>
          <w:p>
            <w:pPr>
              <w:spacing w:after="0"/>
              <w:rPr>
                <w:sz w:val="20"/>
                <w:szCs w:val="20"/>
                <w:color w:val="auto"/>
              </w:rPr>
            </w:pP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the cryptographic hash function used within the BTC network to validate transactions on the BTC Blockchain.</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Arial" w:cs="Arial" w:eastAsia="Arial" w:hAnsi="Arial"/>
                <w:sz w:val="18"/>
                <w:szCs w:val="18"/>
                <w:b w:val="1"/>
                <w:bCs w:val="1"/>
                <w:color w:val="auto"/>
              </w:rPr>
              <w:t>Synthetic HODL</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Synthetic HODL is the use of financial instruments to create BTC-equivalent exposure.</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Arial" w:cs="Arial" w:eastAsia="Arial" w:hAnsi="Arial"/>
                <w:sz w:val="18"/>
                <w:szCs w:val="18"/>
                <w:b w:val="1"/>
                <w:bCs w:val="1"/>
                <w:color w:val="auto"/>
              </w:rPr>
              <w:t>Terahash</w:t>
            </w:r>
          </w:p>
        </w:tc>
        <w:tc>
          <w:tcPr>
            <w:tcW w:w="9380" w:type="dxa"/>
            <w:vAlign w:val="bottom"/>
            <w:gridSpan w:val="2"/>
          </w:tcPr>
          <w:p>
            <w:pPr>
              <w:ind w:left="400"/>
              <w:spacing w:after="0"/>
              <w:rPr>
                <w:sz w:val="20"/>
                <w:szCs w:val="20"/>
                <w:color w:val="auto"/>
              </w:rPr>
            </w:pPr>
            <w:r>
              <w:rPr>
                <w:rFonts w:ascii="Arial" w:cs="Arial" w:eastAsia="Arial" w:hAnsi="Arial"/>
                <w:sz w:val="18"/>
                <w:szCs w:val="18"/>
                <w:color w:val="auto"/>
              </w:rPr>
              <w:t>One trillion (1,000,000,000,000) hashes per second.</w:t>
            </w:r>
          </w:p>
        </w:tc>
      </w:tr>
      <w:tr>
        <w:trPr>
          <w:trHeight w:val="27"/>
        </w:trPr>
        <w:tc>
          <w:tcPr>
            <w:tcW w:w="18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648"/>
        </w:trPr>
        <w:tc>
          <w:tcPr>
            <w:tcW w:w="186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0"/>
        </w:trPr>
        <w:tc>
          <w:tcPr>
            <w:tcW w:w="1860" w:type="dxa"/>
            <w:vAlign w:val="bottom"/>
          </w:tcPr>
          <w:p>
            <w:pPr>
              <w:spacing w:after="0"/>
              <w:rPr>
                <w:sz w:val="19"/>
                <w:szCs w:val="19"/>
                <w:color w:val="auto"/>
              </w:rPr>
            </w:pPr>
          </w:p>
        </w:tc>
        <w:tc>
          <w:tcPr>
            <w:tcW w:w="8840" w:type="dxa"/>
            <w:vAlign w:val="bottom"/>
            <w:tcBorders>
              <w:right w:val="single" w:sz="8" w:color="auto"/>
            </w:tcBorders>
          </w:tcPr>
          <w:p>
            <w:pPr>
              <w:ind w:left="8580"/>
              <w:spacing w:after="0"/>
              <w:rPr>
                <w:sz w:val="20"/>
                <w:szCs w:val="20"/>
                <w:color w:val="auto"/>
              </w:rPr>
            </w:pPr>
            <w:r>
              <w:rPr>
                <w:rFonts w:ascii="Arial" w:cs="Arial" w:eastAsia="Arial" w:hAnsi="Arial"/>
                <w:sz w:val="18"/>
                <w:szCs w:val="18"/>
                <w:color w:val="auto"/>
              </w:rPr>
              <w:t>53</w:t>
            </w:r>
          </w:p>
        </w:tc>
        <w:tc>
          <w:tcPr>
            <w:tcW w:w="540" w:type="dxa"/>
            <w:vAlign w:val="bottom"/>
          </w:tcPr>
          <w:p>
            <w:pPr>
              <w:ind w:left="6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22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Geoffrey Morphy, Chief Executive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September 30,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620" w:hanging="640"/>
        <w:spacing w:after="0" w:line="342" w:lineRule="auto"/>
        <w:tabs>
          <w:tab w:leader="none" w:pos="162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July 1, 2023, and ended on September 30, 2023, that has materially affected, or is reasonably likely to materially affect, the issuer’s ICFR.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September 30,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620" w:hanging="640"/>
        <w:spacing w:after="0" w:line="342" w:lineRule="auto"/>
        <w:tabs>
          <w:tab w:leader="none" w:pos="162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July 1, 2023, and ended on September 30, 2023, that has materially affected, or is reasonably likely to materially affect, the issuer’s ICFR.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Jeffrey Lucas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99.5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1T4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7,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November 7,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1365" cy="5314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40" w:right="2360"/>
        <w:spacing w:after="0" w:line="261" w:lineRule="auto"/>
        <w:rPr>
          <w:sz w:val="20"/>
          <w:szCs w:val="20"/>
          <w:color w:val="auto"/>
        </w:rPr>
      </w:pPr>
      <w:r>
        <w:rPr>
          <w:rFonts w:ascii="Arial" w:cs="Arial" w:eastAsia="Arial" w:hAnsi="Arial"/>
          <w:sz w:val="18"/>
          <w:szCs w:val="18"/>
          <w:b w:val="1"/>
          <w:bCs w:val="1"/>
          <w:color w:val="auto"/>
        </w:rPr>
        <w:t xml:space="preserve">Bitfarms Reports Third Quarter 2023 Results </w:t>
      </w:r>
      <w:r>
        <w:rPr>
          <w:rFonts w:ascii="Arial" w:cs="Arial" w:eastAsia="Arial" w:hAnsi="Arial"/>
          <w:sz w:val="18"/>
          <w:szCs w:val="18"/>
          <w:color w:val="auto"/>
        </w:rPr>
        <w:t>- Earns 1,172 BTC and grows treasury by 154 BTC to 703 BTC in Q3 2023 - - Increases hashrate to 6.1 EH/s at September 30, 2023 and 6.3 EH/s at October 31, 2023 - - Developing operating capacity to 290 MW in Q1 2024, up 24% from Q3 2023 -</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Toronto, Ontario and Brossard, Québec (November 7, 2023) - (</w:t>
      </w:r>
      <w:r>
        <w:rPr>
          <w:rFonts w:ascii="Arial" w:cs="Arial" w:eastAsia="Arial" w:hAnsi="Arial"/>
          <w:sz w:val="18"/>
          <w:szCs w:val="18"/>
          <w:color w:val="auto"/>
        </w:rPr>
        <w:t>GLOBE NEWSWIRE) — Bitfarms Ltd. (NASDAQ: BITF // TSX: BITF), a vertically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Bitcoin mining company, reported its financial results for the third quarter ended September 30, 2023, with revenue of $35 million, net loss of $19 million, and Adjusted EBITDA* of $7 million. All financial references are in U.S. dollars.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2023, we increased operating capacity by 27 MW to 234 MW and by another 6 MW to 240 MW in October 2023. We executed plans to opportunistically expand farms with low-cost hydro power in Québec and Latin America, while we continued to prudently strengthen balance sheet liquidity preparing for the next BTC Halving,” said Geoff Morphy, CEO of Bitfarms. “We remain committed to investing in new facilities and miner upgrades at pricing with attractive returns. Now, with the introduction of higher efficiency, lower-priced miners, we plan to move aggressively to capitalize on more competitive pricing for equipment upgrades.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geographic diversification continues to deliver competitive advantages. In Québec, where we utilize 100% renewable power, we purchased, energized, and then increased our Baie-Comeau farm to 11 MW. In LATAM, we’ve achieved operational success and are benefitting from exceptionally low-cost energy in the region. In Rio Cuarto, Argentina, we employed creative miner racking to extend beyond our original design of 50 MW to 54 MW. In Paso Pe, Paraguay, we acquired power purchase agreements as the foundation of a transformative expansion and began construction at our 50 MW facility. With the Paso Pe addition, we are on track to increase our Q3 2023 operating capacity by 24% to 290 MW in Q1 2024. With our international development experience spanning four countries in two continents, we are well-positioned to continue our expansion and reduce production costs as we approach the Halving and capture market share consolidation opportunities that will likely arise after-Halving,” Morphy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Financial Highlights for the Quarter ended September 30, 2023</w:t>
      </w:r>
    </w:p>
    <w:p>
      <w:pPr>
        <w:spacing w:after="0" w:line="229"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revenue of $35 million, compared to $35 million in Q2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Gross mining profit* and gross mining margin* of $13 million and 38%, respectively, compared to $14 million and 42% in Q2 2023, respectively.</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General and administrative (“G&amp;A”) expenses of $8 million, including non-cash share-based compensation of $2 million, down 9% from Q2 2023.</w:t>
      </w:r>
    </w:p>
    <w:p>
      <w:pPr>
        <w:ind w:left="660" w:hanging="328"/>
        <w:spacing w:after="0" w:line="250"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Operating loss of $19 million, including $1 million of revaluation loss on digital assets, compared to an operating loss of $25 million in Q2 2023, which included $10 million of impairment charges.</w:t>
      </w: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Net loss of $19 million, or $(0.07) per basic and diluted share, compared to $25 million, or $(0.10) per basic and diluted share, in Q2 2023.</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Non-IFRS Adjusted EBITDA* of $7 million, or 20% of revenue, compared to $8 million, or 22% of revenue, in Q2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Earned 1,172 BTC at an average direct cost per BTC* of $16,900, compared to $15,700 in Q2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cash cost, including G&amp;A expenses, per BTC* were $22,700 in Q3 2023, up from $21,800 in Q2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$47 million in cash and 703 BTC valued at approximately $19 million based upon a BTC price of approximately $27,000 as of September 30, 2023.</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October, we initiated our Synthetic HODL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strategy to increase our upside exposure to the price of BTC with the purchase of 35 long-dated BTC call options,” commented Jeff Lucas, CFO of Bitfarms. “This augments our October month-end BTC holdings in treasury, which increased by 57 BTC to 760 BTC valued at $26 million at October 31, 2023, based on a BTC price of $34,200.”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2023 Financing Activities</w:t>
      </w:r>
    </w:p>
    <w:p>
      <w:pPr>
        <w:spacing w:after="0" w:line="229" w:lineRule="exact"/>
        <w:rPr>
          <w:sz w:val="20"/>
          <w:szCs w:val="20"/>
          <w:color w:val="auto"/>
        </w:rPr>
      </w:pPr>
    </w:p>
    <w:p>
      <w:pPr>
        <w:ind w:left="660" w:hanging="328"/>
        <w:spacing w:after="0" w:line="25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Sold 1,018 BTC at an average price of $27,900 per BTC for total proceeds of $28 million, a portion of which was used to repay equipment-related indebtedness.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Paid down $6 million in equipment-related indebtedness, reducing the total outstanding balance to $10 million as of September 30, 2023.</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Fully utilized remaining Miner manufacturer credits of $19 million with the purchase of hydro containers and Miners.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Raised $31 million in net proceeds through the Company’s at-the-market equity offering program, which expired on September 12, 2023.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Subsequent to Q3 2023</w:t>
      </w:r>
    </w:p>
    <w:p>
      <w:pPr>
        <w:spacing w:after="0" w:line="229"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Sold 341 BTC of the 398 BTC earned during October 2023, generating proceeds of $10 million.</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Added 57 BTC to treasury in October 2023, increasing BTC in custody to 760 BTC, representing a total value of $26 million based on a BTC price of $34,200, on October 31, 2023.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Q3 2023 and Recent Operating Highlights</w:t>
      </w:r>
    </w:p>
    <w:p>
      <w:pPr>
        <w:spacing w:after="0" w:line="225"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Reached 6.1 EH/s corporate hashrate as of September 30,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Averaged 12.7 BTC per day in daily production for Q3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Earned 398 BTC in October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Powered additional 6 MW at Baie-Comeau in October 2023, fully energizing its initial 11 MW phase.</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Miners</w:t>
      </w:r>
    </w:p>
    <w:p>
      <w:pPr>
        <w:spacing w:after="0" w:line="27"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Fully utilized remaining Miner manufacturer credits of $19 million for the purchase of nine MicroBT hydro containers, with a total capacity of 20 MW, and approximately 2,000 MicroBT M53S+ hydro Miners to be deployed in Paraguay and Quebec.</w:t>
      </w:r>
    </w:p>
    <w:p>
      <w:pPr>
        <w:jc w:val="both"/>
        <w:ind w:left="1300" w:hanging="320"/>
        <w:spacing w:after="0" w:line="250"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Imported and installed approximately 1,300 new M50 Whatsminer Miners, 700 new S19j Pro Antminer Miners and 5,500 new S19j Pro+ Antminer Miners, which increased capacity to 51 MW and added approximately 0.8 EH/s to the Rio Cuarto facility, bringing its total hashrate to approximately 1.5 EH/s.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Imported and installed approximately 2,900 new Antminer S19j Pro+ Miners in Magog, Quebec, which added a net 110 PH/s after replacing the older generation Miners, and bringing its total hashrate to approximately 330 PH/s.</w:t>
      </w: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Installed approximately 2,500 Miners in Baie-Comeau, Quebec that were redeployed from Magog, Quebec.</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Expansion Strategy</w:t>
      </w:r>
    </w:p>
    <w:p>
      <w:pPr>
        <w:spacing w:after="0" w:line="2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Purchased Baie-Comeau facility and initiated production.</w:t>
      </w:r>
    </w:p>
    <w:p>
      <w:pPr>
        <w:spacing w:after="0" w:line="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Acquired two power purchase agreements for up to 150 MW of hydro power capacity in Paraguay and initiated deployment plan in August for a new 50 MW facility at Paso Pe. The Paso Pe location is comprised of 20 MW of next generation hydro miners and related containers, which are ordered and planned to energize and contribute 700 PH in Q1 2024, and a 30 MW air-cooled warehouse slated for next generation miners.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Quarterly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Q3 2023</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Q2 2023</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Q3 2022</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BTC earned</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Average Watts/average TH efficiency***</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23"/>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BTC sold</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1,018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2,595</w:t>
            </w:r>
          </w:p>
        </w:tc>
      </w:tr>
      <w:tr>
        <w:trPr>
          <w:trHeight w:val="414"/>
        </w:trPr>
        <w:tc>
          <w:tcPr>
            <w:tcW w:w="4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24"/>
                <w:szCs w:val="24"/>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At</w:t>
            </w:r>
          </w:p>
        </w:tc>
        <w:tc>
          <w:tcPr>
            <w:tcW w:w="260" w:type="dxa"/>
            <w:vAlign w:val="bottom"/>
          </w:tcPr>
          <w:p>
            <w:pPr>
              <w:spacing w:after="0"/>
              <w:rPr>
                <w:sz w:val="24"/>
                <w:szCs w:val="24"/>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At</w:t>
            </w:r>
          </w:p>
        </w:tc>
      </w:tr>
      <w:tr>
        <w:trPr>
          <w:trHeight w:val="234"/>
        </w:trPr>
        <w:tc>
          <w:tcPr>
            <w:tcW w:w="4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5"/>
              </w:rPr>
              <w:t>September 30,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June 30,</w:t>
            </w: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8"/>
              </w:rPr>
              <w:t>September 30,</w:t>
            </w:r>
          </w:p>
        </w:tc>
      </w:tr>
      <w:tr>
        <w:trPr>
          <w:trHeight w:val="237"/>
        </w:trPr>
        <w:tc>
          <w:tcPr>
            <w:tcW w:w="4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Period-end operating EH/s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Period-end operating capacity (MW)</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234</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50"/>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Hydro power (MW)</w:t>
            </w: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432"/>
        </w:trPr>
        <w:tc>
          <w:tcPr>
            <w:tcW w:w="4340" w:type="dxa"/>
            <w:vAlign w:val="bottom"/>
          </w:tcPr>
          <w:p>
            <w:pPr>
              <w:spacing w:after="0"/>
              <w:rPr>
                <w:sz w:val="20"/>
                <w:szCs w:val="20"/>
                <w:color w:val="auto"/>
              </w:rPr>
            </w:pPr>
            <w:r>
              <w:rPr>
                <w:rFonts w:ascii="Arial" w:cs="Arial" w:eastAsia="Arial" w:hAnsi="Arial"/>
                <w:sz w:val="18"/>
                <w:szCs w:val="18"/>
                <w:b w:val="1"/>
                <w:bCs w:val="1"/>
                <w:color w:val="auto"/>
              </w:rPr>
              <w:t>Quarterly Average Revenue**** and Cost per BTC*</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37"/>
        </w:trPr>
        <w:tc>
          <w:tcPr>
            <w:tcW w:w="4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Q3 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Q2 2023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Q1 2023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Q4 2022</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Q3 2022</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revenue/BTC****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Direct cost/BTC*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9,700</w:t>
            </w:r>
          </w:p>
        </w:tc>
      </w:tr>
      <w:tr>
        <w:trPr>
          <w:trHeight w:val="250"/>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cost/BTC*</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Management will host a conference call and live webcast with an accompanying presentation today, Tuesday, November 7, 2023, at 11 a.m. ET to review the Company’s financial results and quarterly activity. Following management’s formal remarks there will be a live question-and-answer session, which may include pre-submitted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Q3 2023 Conference Call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who are unable to preregister may dial in by calling: 1-866-777-2509 (domestic), 1-412-317-5413 (international). All callers should dial in approximately 10 minutes prior to the scheduled start time and ask to be joined into the Bitfarms call.</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Webcast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November 14, 2023 and may be accessed by calling 1-877-344-7529 (domestic) or 1-412-317-0088 (international) or Canada (toll free) 855-669-9658 and using access code 2148933. A presentation of the Q3 2023 results will be accessible on Tuesday, November 7, 2023, under the “Investors” section of Bitfarms’ website.</w:t>
      </w:r>
    </w:p>
    <w:p>
      <w:pPr>
        <w:spacing w:after="0" w:line="187" w:lineRule="exact"/>
        <w:rPr>
          <w:sz w:val="20"/>
          <w:szCs w:val="20"/>
          <w:color w:val="auto"/>
        </w:rPr>
      </w:pPr>
    </w:p>
    <w:p>
      <w:pPr>
        <w:jc w:val="both"/>
        <w:ind w:firstLine="8"/>
        <w:spacing w:after="0" w:line="259" w:lineRule="auto"/>
        <w:tabs>
          <w:tab w:leader="none" w:pos="144"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Gross mining profit, gross mining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7" w:lineRule="exact"/>
        <w:rPr>
          <w:sz w:val="20"/>
          <w:szCs w:val="20"/>
          <w:color w:val="auto"/>
        </w:rPr>
      </w:pPr>
    </w:p>
    <w:p>
      <w:pPr>
        <w:ind w:left="240" w:hanging="232"/>
        <w:spacing w:after="0"/>
        <w:tabs>
          <w:tab w:leader="none" w:pos="24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Liquidity represents cash and balance of digital assets including digital assets pledged as collateral.</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Average Watts represents the energy consumption of Miners.</w:t>
      </w:r>
    </w:p>
    <w:p>
      <w:pPr>
        <w:spacing w:after="0" w:line="225" w:lineRule="exact"/>
        <w:rPr>
          <w:rFonts w:ascii="Arial" w:cs="Arial" w:eastAsia="Arial" w:hAnsi="Arial"/>
          <w:sz w:val="18"/>
          <w:szCs w:val="18"/>
          <w:i w:val="1"/>
          <w:iCs w:val="1"/>
          <w:color w:val="auto"/>
        </w:rPr>
      </w:pPr>
    </w:p>
    <w:p>
      <w:pPr>
        <w:ind w:left="420" w:hanging="412"/>
        <w:spacing w:after="0"/>
        <w:tabs>
          <w:tab w:leader="none" w:pos="42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Average revenue per BTC is for mining operations only and excludes Volta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KWh = Kilowatt per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Synthetic HODL™ = the capital-efficient use of financial instruments to create BTC-equivalent exposure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in Paraguay, Argentina, and Quebec, upgrading and deployment of miners as well as the timing therefor, improved financial performance and balance sheet liquidity, other growth opportunities and prospects, and other statements regarding future growth, plans and objectives of the Company are forward-looking information. Other forward-looking information includes, but is not limited to, information concerning: the intentions, plans and future actions of the Company, as well as Bitfarms’ ability to successfully earn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spacing w:after="0" w:line="283"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earn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earn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annual information form for the year</w:t>
      </w:r>
      <w:r>
        <w:rPr>
          <w:rFonts w:ascii="Arial" w:cs="Arial" w:eastAsia="Arial" w:hAnsi="Arial"/>
          <w:sz w:val="16"/>
          <w:szCs w:val="16"/>
          <w:color w:val="auto"/>
        </w:rPr>
        <w:t>-</w:t>
      </w:r>
      <w:r>
        <w:rPr>
          <w:rFonts w:ascii="Arial" w:cs="Arial" w:eastAsia="Arial" w:hAnsi="Arial"/>
          <w:sz w:val="16"/>
          <w:szCs w:val="16"/>
          <w:i w:val="1"/>
          <w:iCs w:val="1"/>
          <w:color w:val="auto"/>
        </w:rPr>
        <w:t>ended December 31, 2022, filed on March 21, 2023 and the MD&amp;A for three-month period ended September 30,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Noor Dar</w:t>
      </w:r>
    </w:p>
    <w:p>
      <w:pPr>
        <w:spacing w:after="0" w:line="9" w:lineRule="exact"/>
        <w:rPr>
          <w:sz w:val="20"/>
          <w:szCs w:val="20"/>
          <w:color w:val="auto"/>
        </w:rPr>
      </w:pPr>
    </w:p>
    <w:p>
      <w:pPr>
        <w:ind w:right="9060" w:firstLine="8"/>
        <w:spacing w:after="0" w:line="323" w:lineRule="auto"/>
        <w:tabs>
          <w:tab w:leader="none" w:pos="1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1 516-270-4009 mediarelations@bitfarms.com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56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Bitfarms Ltd. Consolidated Financial &amp; Operational Results</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 September 30,</w:t>
            </w:r>
          </w:p>
        </w:tc>
        <w:tc>
          <w:tcPr>
            <w:tcW w:w="438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44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20" w:type="dxa"/>
            <w:vAlign w:val="bottom"/>
            <w:vMerge w:val="restart"/>
          </w:tcPr>
          <w:p>
            <w:pPr>
              <w:jc w:val="right"/>
              <w:ind w:right="534"/>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 Change</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7"/>
              </w:rPr>
              <w:t>% Change</w:t>
            </w:r>
          </w:p>
        </w:tc>
        <w:tc>
          <w:tcPr>
            <w:tcW w:w="7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 Change</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34,596</w:t>
            </w: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33,247</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1,349</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100,125</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115,391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43,462</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37,186</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6,276</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123,384</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92,789</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30,595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(8,866)</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(23,259)</w:t>
            </w: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22,602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5"/>
                <w:szCs w:val="15"/>
                <w:color w:val="auto"/>
              </w:rPr>
              <w:t xml:space="preserve">Gross margin </w:t>
            </w:r>
            <w:r>
              <w:rPr>
                <w:rFonts w:ascii="Arial" w:cs="Arial" w:eastAsia="Arial" w:hAnsi="Arial"/>
                <w:sz w:val="23"/>
                <w:szCs w:val="23"/>
                <w:color w:val="auto"/>
                <w:vertAlign w:val="superscript"/>
              </w:rPr>
              <w:t>(1)</w:t>
            </w:r>
          </w:p>
        </w:tc>
        <w:tc>
          <w:tcPr>
            <w:tcW w:w="1120" w:type="dxa"/>
            <w:vAlign w:val="bottom"/>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314"/>
              <w:spacing w:after="0" w:line="81" w:lineRule="exact"/>
              <w:rPr>
                <w:sz w:val="20"/>
                <w:szCs w:val="20"/>
                <w:color w:val="auto"/>
              </w:rPr>
            </w:pPr>
            <w:r>
              <w:rPr>
                <w:rFonts w:ascii="Arial" w:cs="Arial" w:eastAsia="Arial" w:hAnsi="Arial"/>
                <w:sz w:val="9"/>
                <w:szCs w:val="9"/>
                <w:b w:val="1"/>
                <w:bCs w:val="1"/>
                <w:color w:val="auto"/>
              </w:rPr>
              <w:t>(26</w:t>
            </w:r>
          </w:p>
        </w:tc>
        <w:tc>
          <w:tcPr>
            <w:tcW w:w="1020" w:type="dxa"/>
            <w:vAlign w:val="bottom"/>
            <w:tcBorders>
              <w:bottom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(12</w:t>
            </w:r>
          </w:p>
        </w:tc>
        <w:tc>
          <w:tcPr>
            <w:tcW w:w="100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20</w:t>
            </w:r>
          </w:p>
        </w:tc>
        <w:tc>
          <w:tcPr>
            <w:tcW w:w="10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 administrative</w:t>
            </w:r>
          </w:p>
        </w:tc>
        <w:tc>
          <w:tcPr>
            <w:tcW w:w="1120" w:type="dxa"/>
            <w:vAlign w:val="bottom"/>
            <w:vMerge w:val="restart"/>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8,372</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25,887</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10,299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76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39,534</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Realized loss on disposition</w:t>
            </w:r>
          </w:p>
        </w:tc>
        <w:tc>
          <w:tcPr>
            <w:tcW w:w="112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340"/>
              <w:spacing w:after="0"/>
              <w:rPr>
                <w:sz w:val="20"/>
                <w:szCs w:val="20"/>
                <w:color w:val="auto"/>
              </w:rPr>
            </w:pPr>
            <w:r>
              <w:rPr>
                <w:rFonts w:ascii="Arial" w:cs="Arial" w:eastAsia="Arial" w:hAnsi="Arial"/>
                <w:sz w:val="18"/>
                <w:szCs w:val="18"/>
                <w:color w:val="auto"/>
              </w:rPr>
              <w:t>of digital assets</w:t>
            </w:r>
          </w:p>
        </w:tc>
        <w:tc>
          <w:tcPr>
            <w:tcW w:w="1120" w:type="dxa"/>
            <w:vAlign w:val="bottom"/>
            <w:vMerge w:val="continue"/>
          </w:tcPr>
          <w:p>
            <w:pPr>
              <w:spacing w:after="0"/>
              <w:rPr>
                <w:sz w:val="20"/>
                <w:szCs w:val="20"/>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44,329</w:t>
            </w:r>
          </w:p>
        </w:tc>
        <w:tc>
          <w:tcPr>
            <w:tcW w:w="1000" w:type="dxa"/>
            <w:vAlign w:val="bottom"/>
          </w:tcPr>
          <w:p>
            <w:pPr>
              <w:jc w:val="right"/>
              <w:spacing w:after="0"/>
              <w:rPr>
                <w:sz w:val="20"/>
                <w:szCs w:val="20"/>
                <w:color w:val="auto"/>
              </w:rPr>
            </w:pPr>
            <w:r>
              <w:rPr>
                <w:rFonts w:ascii="Arial" w:cs="Arial" w:eastAsia="Arial" w:hAnsi="Arial"/>
                <w:sz w:val="18"/>
                <w:szCs w:val="18"/>
                <w:color w:val="auto"/>
              </w:rPr>
              <w:t>(44,329)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7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122,243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(122,243)</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(Reversal of) revaluation</w:t>
            </w:r>
          </w:p>
        </w:tc>
        <w:tc>
          <w:tcPr>
            <w:tcW w:w="1120" w:type="dxa"/>
            <w:vAlign w:val="bottom"/>
            <w:vMerge w:val="restart"/>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1,183</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(1,512)</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digital assets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(45,655)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46,838</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180" w:type="dxa"/>
            <w:vAlign w:val="bottom"/>
            <w:gridSpan w:val="2"/>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21,118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Loss on disposition of</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40"/>
              <w:spacing w:after="0"/>
              <w:rPr>
                <w:sz w:val="20"/>
                <w:szCs w:val="20"/>
                <w:color w:val="auto"/>
              </w:rPr>
            </w:pPr>
            <w:r>
              <w:rPr>
                <w:rFonts w:ascii="Arial" w:cs="Arial" w:eastAsia="Arial" w:hAnsi="Arial"/>
                <w:sz w:val="18"/>
                <w:szCs w:val="18"/>
                <w:color w:val="auto"/>
              </w:rPr>
              <w:t>property, plant and</w:t>
            </w:r>
          </w:p>
        </w:tc>
        <w:tc>
          <w:tcPr>
            <w:tcW w:w="112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217</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1,776</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1120" w:type="dxa"/>
            <w:vAlign w:val="bottom"/>
            <w:vMerge w:val="continue"/>
          </w:tcPr>
          <w:p>
            <w:pPr>
              <w:spacing w:after="0"/>
              <w:rPr>
                <w:sz w:val="20"/>
                <w:szCs w:val="20"/>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756</w:t>
            </w: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7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1,692</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on short-term</w:t>
            </w: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deposits,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and</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construction prepayments,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and right-of-</w:t>
            </w:r>
          </w:p>
        </w:tc>
        <w:tc>
          <w:tcPr>
            <w:tcW w:w="1120" w:type="dxa"/>
            <w:vAlign w:val="bottom"/>
            <w:vMerge w:val="restart"/>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9,982</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 assets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84,116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(84,116)</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76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84,116</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Impairment on goodwill</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17,900</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(18,638)</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(97,784)</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79,146</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(59,392)</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(264,001)</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204,609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440" w:type="dxa"/>
            <w:vAlign w:val="bottom"/>
          </w:tcPr>
          <w:p>
            <w:pPr>
              <w:spacing w:after="0" w:line="202" w:lineRule="exact"/>
              <w:rPr>
                <w:sz w:val="20"/>
                <w:szCs w:val="20"/>
                <w:color w:val="auto"/>
              </w:rPr>
            </w:pPr>
            <w:r>
              <w:rPr>
                <w:rFonts w:ascii="Arial" w:cs="Arial" w:eastAsia="Arial" w:hAnsi="Arial"/>
                <w:sz w:val="15"/>
                <w:szCs w:val="15"/>
                <w:color w:val="auto"/>
              </w:rPr>
              <w:t xml:space="preserve">Operating margin </w:t>
            </w:r>
            <w:r>
              <w:rPr>
                <w:rFonts w:ascii="Arial" w:cs="Arial" w:eastAsia="Arial" w:hAnsi="Arial"/>
                <w:sz w:val="23"/>
                <w:szCs w:val="23"/>
                <w:color w:val="auto"/>
                <w:vertAlign w:val="superscript"/>
              </w:rPr>
              <w:t>(1)</w:t>
            </w:r>
          </w:p>
        </w:tc>
        <w:tc>
          <w:tcPr>
            <w:tcW w:w="1120" w:type="dxa"/>
            <w:vAlign w:val="bottom"/>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314"/>
              <w:spacing w:after="0" w:line="81" w:lineRule="exact"/>
              <w:rPr>
                <w:sz w:val="20"/>
                <w:szCs w:val="20"/>
                <w:color w:val="auto"/>
              </w:rPr>
            </w:pPr>
            <w:r>
              <w:rPr>
                <w:rFonts w:ascii="Arial" w:cs="Arial" w:eastAsia="Arial" w:hAnsi="Arial"/>
                <w:sz w:val="9"/>
                <w:szCs w:val="9"/>
                <w:b w:val="1"/>
                <w:bCs w:val="1"/>
                <w:color w:val="auto"/>
              </w:rPr>
              <w:t>(54</w:t>
            </w:r>
          </w:p>
        </w:tc>
        <w:tc>
          <w:tcPr>
            <w:tcW w:w="1020" w:type="dxa"/>
            <w:vAlign w:val="bottom"/>
            <w:tcBorders>
              <w:bottom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(294</w:t>
            </w:r>
          </w:p>
        </w:tc>
        <w:tc>
          <w:tcPr>
            <w:tcW w:w="100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(229</w:t>
            </w:r>
          </w:p>
        </w:tc>
        <w:tc>
          <w:tcPr>
            <w:tcW w:w="10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(336)</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(8,251)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7,915</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w:t>
            </w:r>
          </w:p>
        </w:tc>
        <w:tc>
          <w:tcPr>
            <w:tcW w:w="11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(12,706)</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(24,191)</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11,485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Net loss before income taxes</w:t>
            </w:r>
          </w:p>
        </w:tc>
        <w:tc>
          <w:tcPr>
            <w:tcW w:w="11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(18,302)</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(89,533)</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71,231</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1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(46,686)</w:t>
            </w: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(239,810)</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193,124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Income tax expense (recovery)</w:t>
            </w:r>
          </w:p>
        </w:tc>
        <w:tc>
          <w:tcPr>
            <w:tcW w:w="11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401</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(4,725)</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5,126</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1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(23)</w:t>
            </w: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(17,603)</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17,580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(18,703)</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(84,808)</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66,105</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w:t>
            </w:r>
          </w:p>
        </w:tc>
        <w:tc>
          <w:tcPr>
            <w:tcW w:w="11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(46,663)</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(222,207)</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175,544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w w:val="94"/>
              </w:rPr>
              <w:t>Basic and diluted loss per share</w:t>
            </w:r>
          </w:p>
        </w:tc>
        <w:tc>
          <w:tcPr>
            <w:tcW w:w="112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(0.07)</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(0.19)</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 U.S. dollars)</w:t>
            </w:r>
          </w:p>
        </w:tc>
        <w:tc>
          <w:tcPr>
            <w:tcW w:w="11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(0.40)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vMerge w:val="continue"/>
          </w:tcPr>
          <w:p>
            <w:pPr>
              <w:spacing w:after="0"/>
              <w:rPr>
                <w:sz w:val="22"/>
                <w:szCs w:val="22"/>
                <w:color w:val="auto"/>
              </w:rPr>
            </w:pP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(1.09)</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Change in revaluation surplus -</w:t>
            </w:r>
          </w:p>
        </w:tc>
        <w:tc>
          <w:tcPr>
            <w:tcW w:w="1120" w:type="dxa"/>
            <w:vAlign w:val="bottom"/>
            <w:vMerge w:val="restart"/>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(824)</w:t>
            </w: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assets, net of tax</w:t>
            </w: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1,567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1"/>
        </w:trPr>
        <w:tc>
          <w:tcPr>
            <w:tcW w:w="244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Total comprehensive loss, net</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of tax</w:t>
            </w: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(19,527)</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(84,808)</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65,281</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c>
          <w:tcPr>
            <w:tcW w:w="11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(45,096)</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(222,207)</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177,111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(2)</w:t>
            </w:r>
          </w:p>
        </w:tc>
        <w:tc>
          <w:tcPr>
            <w:tcW w:w="1120" w:type="dxa"/>
            <w:vAlign w:val="bottom"/>
          </w:tcPr>
          <w:p>
            <w:pPr>
              <w:jc w:val="right"/>
              <w:ind w:right="314"/>
              <w:spacing w:after="0"/>
              <w:rPr>
                <w:sz w:val="20"/>
                <w:szCs w:val="20"/>
                <w:color w:val="auto"/>
              </w:rPr>
            </w:pPr>
            <w:r>
              <w:rPr>
                <w:rFonts w:ascii="Arial" w:cs="Arial" w:eastAsia="Arial" w:hAnsi="Arial"/>
                <w:sz w:val="18"/>
                <w:szCs w:val="18"/>
                <w:b w:val="1"/>
                <w:bCs w:val="1"/>
                <w:color w:val="auto"/>
              </w:rPr>
              <w:t>12,505</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16,789</w:t>
            </w:r>
          </w:p>
        </w:tc>
        <w:tc>
          <w:tcPr>
            <w:tcW w:w="1000" w:type="dxa"/>
            <w:vAlign w:val="bottom"/>
          </w:tcPr>
          <w:p>
            <w:pPr>
              <w:jc w:val="right"/>
              <w:spacing w:after="0"/>
              <w:rPr>
                <w:sz w:val="20"/>
                <w:szCs w:val="20"/>
                <w:color w:val="auto"/>
              </w:rPr>
            </w:pPr>
            <w:r>
              <w:rPr>
                <w:rFonts w:ascii="Arial" w:cs="Arial" w:eastAsia="Arial" w:hAnsi="Arial"/>
                <w:sz w:val="18"/>
                <w:szCs w:val="18"/>
                <w:color w:val="auto"/>
              </w:rPr>
              <w:t>(4,284)</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39,017</w:t>
            </w:r>
          </w:p>
        </w:tc>
        <w:tc>
          <w:tcPr>
            <w:tcW w:w="420" w:type="dxa"/>
            <w:vAlign w:val="bottom"/>
          </w:tcPr>
          <w:p>
            <w:pPr>
              <w:spacing w:after="0"/>
              <w:rPr>
                <w:sz w:val="22"/>
                <w:szCs w:val="22"/>
                <w:color w:val="auto"/>
              </w:rPr>
            </w:pP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74,089</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(35,072)</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6"/>
        </w:trPr>
        <w:tc>
          <w:tcPr>
            <w:tcW w:w="2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38%</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440" w:type="dxa"/>
            <w:vAlign w:val="bottom"/>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(2)</w:t>
            </w:r>
          </w:p>
        </w:tc>
        <w:tc>
          <w:tcPr>
            <w:tcW w:w="1120" w:type="dxa"/>
            <w:vAlign w:val="bottom"/>
          </w:tcPr>
          <w:p>
            <w:pPr>
              <w:jc w:val="right"/>
              <w:ind w:right="314"/>
              <w:spacing w:after="0"/>
              <w:rPr>
                <w:sz w:val="20"/>
                <w:szCs w:val="20"/>
                <w:color w:val="auto"/>
              </w:rPr>
            </w:pPr>
            <w:r>
              <w:rPr>
                <w:rFonts w:ascii="Arial" w:cs="Arial" w:eastAsia="Arial" w:hAnsi="Arial"/>
                <w:sz w:val="18"/>
                <w:szCs w:val="18"/>
                <w:b w:val="1"/>
                <w:bCs w:val="1"/>
                <w:color w:val="auto"/>
              </w:rPr>
              <w:t>4,280</w:t>
            </w: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(65,419)</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69,699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19,767</w:t>
            </w:r>
          </w:p>
        </w:tc>
        <w:tc>
          <w:tcPr>
            <w:tcW w:w="4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(177,217)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196,984</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6"/>
        </w:trPr>
        <w:tc>
          <w:tcPr>
            <w:tcW w:w="2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(2)</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44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1120" w:type="dxa"/>
            <w:vAlign w:val="bottom"/>
          </w:tcPr>
          <w:p>
            <w:pPr>
              <w:jc w:val="right"/>
              <w:ind w:right="314"/>
              <w:spacing w:after="0"/>
              <w:rPr>
                <w:sz w:val="20"/>
                <w:szCs w:val="20"/>
                <w:color w:val="auto"/>
              </w:rPr>
            </w:pPr>
            <w:r>
              <w:rPr>
                <w:rFonts w:ascii="Arial" w:cs="Arial" w:eastAsia="Arial" w:hAnsi="Arial"/>
                <w:sz w:val="18"/>
                <w:szCs w:val="18"/>
                <w:b w:val="1"/>
                <w:bCs w:val="1"/>
                <w:color w:val="auto"/>
              </w:rPr>
              <w:t>6,866</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10,325</w:t>
            </w:r>
          </w:p>
        </w:tc>
        <w:tc>
          <w:tcPr>
            <w:tcW w:w="1000" w:type="dxa"/>
            <w:vAlign w:val="bottom"/>
          </w:tcPr>
          <w:p>
            <w:pPr>
              <w:jc w:val="right"/>
              <w:spacing w:after="0"/>
              <w:rPr>
                <w:sz w:val="20"/>
                <w:szCs w:val="20"/>
                <w:color w:val="auto"/>
              </w:rPr>
            </w:pPr>
            <w:r>
              <w:rPr>
                <w:rFonts w:ascii="Arial" w:cs="Arial" w:eastAsia="Arial" w:hAnsi="Arial"/>
                <w:sz w:val="18"/>
                <w:szCs w:val="18"/>
                <w:color w:val="auto"/>
              </w:rPr>
              <w:t>(3,459)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21,107</w:t>
            </w:r>
          </w:p>
        </w:tc>
        <w:tc>
          <w:tcPr>
            <w:tcW w:w="420" w:type="dxa"/>
            <w:vAlign w:val="bottom"/>
          </w:tcPr>
          <w:p>
            <w:pPr>
              <w:spacing w:after="0"/>
              <w:rPr>
                <w:sz w:val="22"/>
                <w:szCs w:val="22"/>
                <w:color w:val="auto"/>
              </w:rPr>
            </w:pP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52,326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(31,219)</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Adjusted EBITDA margin </w:t>
            </w:r>
            <w:r>
              <w:rPr>
                <w:rFonts w:ascii="Arial" w:cs="Arial" w:eastAsia="Arial" w:hAnsi="Arial"/>
                <w:sz w:val="23"/>
                <w:szCs w:val="23"/>
                <w:color w:val="auto"/>
                <w:vertAlign w:val="superscript"/>
              </w:rPr>
              <w:t>(2)</w:t>
            </w:r>
          </w:p>
        </w:tc>
        <w:tc>
          <w:tcPr>
            <w:tcW w:w="1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jc w:val="right"/>
              <w:ind w:right="314"/>
              <w:spacing w:after="0" w:line="81" w:lineRule="exact"/>
              <w:rPr>
                <w:sz w:val="20"/>
                <w:szCs w:val="20"/>
                <w:color w:val="auto"/>
              </w:rPr>
            </w:pPr>
            <w:r>
              <w:rPr>
                <w:rFonts w:ascii="Arial" w:cs="Arial" w:eastAsia="Arial" w:hAnsi="Arial"/>
                <w:sz w:val="9"/>
                <w:szCs w:val="9"/>
                <w:b w:val="1"/>
                <w:bCs w:val="1"/>
                <w:color w:val="auto"/>
              </w:rPr>
              <w:t>20</w:t>
            </w:r>
          </w:p>
        </w:tc>
        <w:tc>
          <w:tcPr>
            <w:tcW w:w="1020" w:type="dxa"/>
            <w:vAlign w:val="bottom"/>
            <w:tcBorders>
              <w:bottom w:val="single" w:sz="8" w:color="auto"/>
            </w:tcBorders>
            <w:shd w:val="clear" w:color="auto" w:fill="CCEEFF"/>
          </w:tcPr>
          <w:p>
            <w:pPr>
              <w:jc w:val="right"/>
              <w:ind w:right="215"/>
              <w:spacing w:after="0" w:line="81" w:lineRule="exact"/>
              <w:rPr>
                <w:sz w:val="20"/>
                <w:szCs w:val="20"/>
                <w:color w:val="auto"/>
              </w:rPr>
            </w:pPr>
            <w:r>
              <w:rPr>
                <w:rFonts w:ascii="Arial" w:cs="Arial" w:eastAsia="Arial" w:hAnsi="Arial"/>
                <w:sz w:val="9"/>
                <w:szCs w:val="9"/>
                <w:color w:val="auto"/>
              </w:rPr>
              <w:t>31</w:t>
            </w:r>
          </w:p>
        </w:tc>
        <w:tc>
          <w:tcPr>
            <w:tcW w:w="1000" w:type="dxa"/>
            <w:vAlign w:val="bottom"/>
            <w:tcBorders>
              <w:bottom w:val="single" w:sz="8" w:color="auto"/>
            </w:tcBorders>
            <w:vMerge w:val="continue"/>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jc w:val="right"/>
              <w:ind w:right="215"/>
              <w:spacing w:after="0" w:line="81" w:lineRule="exact"/>
              <w:rPr>
                <w:sz w:val="20"/>
                <w:szCs w:val="20"/>
                <w:color w:val="auto"/>
              </w:rPr>
            </w:pPr>
            <w:r>
              <w:rPr>
                <w:rFonts w:ascii="Arial" w:cs="Arial" w:eastAsia="Arial" w:hAnsi="Arial"/>
                <w:sz w:val="9"/>
                <w:szCs w:val="9"/>
                <w:color w:val="auto"/>
              </w:rPr>
              <w:t>45</w:t>
            </w: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11" w:lineRule="exact"/>
        <w:rPr>
          <w:sz w:val="20"/>
          <w:szCs w:val="20"/>
          <w:color w:val="auto"/>
        </w:rPr>
      </w:pPr>
    </w:p>
    <w:p>
      <w:pPr>
        <w:ind w:left="340" w:hanging="332"/>
        <w:spacing w:after="0" w:line="258"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Gross margin and Operating margin are supplemental financial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 xml:space="preserve"> of the Company’s MD&amp;A.</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Gross Mining profit, Gross Mining margin, EBITDA, EBITDA margin, Adjusted EBITDA and Adjusted EBITDA margin are non-IFRS measures or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 xml:space="preserve"> of the Company’s MD&amp;A.</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0200" w:type="dxa"/>
            <w:vAlign w:val="bottom"/>
            <w:gridSpan w:val="8"/>
          </w:tcPr>
          <w:p>
            <w:pPr>
              <w:ind w:left="1820"/>
              <w:spacing w:after="0"/>
              <w:rPr>
                <w:sz w:val="20"/>
                <w:szCs w:val="20"/>
                <w:color w:val="auto"/>
              </w:rPr>
            </w:pPr>
            <w:r>
              <w:rPr>
                <w:rFonts w:ascii="Arial" w:cs="Arial" w:eastAsia="Arial" w:hAnsi="Arial"/>
                <w:sz w:val="18"/>
                <w:szCs w:val="18"/>
                <w:b w:val="1"/>
                <w:bCs w:val="1"/>
                <w:color w:val="auto"/>
              </w:rPr>
              <w:t>Bitfarms Ltd. Reconciliation of Consolidated Net Income (loss) to EBITDA and Adjusted EBITDA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 September 30,</w:t>
            </w:r>
          </w:p>
        </w:tc>
        <w:tc>
          <w:tcPr>
            <w:tcW w:w="3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1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1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7"/>
              </w:rPr>
              <w:t>% Change</w:t>
            </w:r>
          </w:p>
        </w:tc>
        <w:tc>
          <w:tcPr>
            <w:tcW w:w="1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 Change</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34,596</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33,247</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1,349</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100,125</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115,391</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(15,266)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4"/>
              </w:rPr>
              <w:t>Net loss before income taxes</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(18,302)</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(89,533)</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71,231</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(46,686)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(239,810)</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193,124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815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3,394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3,458</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10,950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(7,492)</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Depreciation and amortization</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21,767</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20,720</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62,995</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51,643</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11,352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4,280</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(65,419)</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69,699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19,767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(177,217)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196,984</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Share-based payment</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3,961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7,009</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17,993</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(10,984)</w:t>
            </w: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Realized loss on disposition of</w:t>
            </w:r>
          </w:p>
        </w:tc>
        <w:tc>
          <w:tcPr>
            <w:tcW w:w="11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44,329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(44,329)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12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122,243</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(122,243)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Impairment on short-term</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w w:val="96"/>
              </w:rPr>
              <w:t>prepaid deposits, equipment</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and construction</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prepayments, property,</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plant and equipment and</w:t>
            </w: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9,982</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100" w:type="dxa"/>
            <w:vAlign w:val="bottom"/>
            <w:vMerge w:val="continue"/>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84,116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(84,116)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12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84,116</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(74,134)</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revaluation loss</w:t>
            </w:r>
          </w:p>
        </w:tc>
        <w:tc>
          <w:tcPr>
            <w:tcW w:w="11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1,183</w:t>
            </w: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(1,512)</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digital assets</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(45,655)</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46,838</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12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21,118</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Impairment on goodwill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17,900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(17,900)</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extinguishment of</w:t>
            </w: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lease</w:t>
            </w:r>
          </w:p>
        </w:tc>
        <w:tc>
          <w:tcPr>
            <w:tcW w:w="11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(12,835)</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Gain on disposition of</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(4,120)</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(11,246)</w:t>
            </w: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0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(13,690)</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9,570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120" w:type="dxa"/>
            <w:vAlign w:val="bottom"/>
            <w:vMerge w:val="continue"/>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(44,332)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33,086</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financial expenses and</w:t>
            </w: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3,512</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2,683</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9,942</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10,505</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6,866</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10,325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21,107</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52,326</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(31,219)</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2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662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97"/>
              </w:rPr>
              <w:t>Bitfarms Ltd. Calculation of Gross Mining Profit and Gross Mining Margin</w:t>
            </w: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 September 30,</w:t>
            </w:r>
          </w:p>
        </w:tc>
        <w:tc>
          <w:tcPr>
            <w:tcW w:w="438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0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 Change</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5"/>
              </w:rPr>
              <w:t>% Change</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 Change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(8,866)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(3,939)</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(4,927)</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(23,259)</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22,602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(45,861)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0"/>
        </w:trPr>
        <w:tc>
          <w:tcPr>
            <w:tcW w:w="2420" w:type="dxa"/>
            <w:vAlign w:val="bottom"/>
          </w:tcPr>
          <w:p>
            <w:pPr>
              <w:spacing w:after="0" w:line="250" w:lineRule="exact"/>
              <w:rPr>
                <w:sz w:val="20"/>
                <w:szCs w:val="20"/>
                <w:color w:val="auto"/>
              </w:rPr>
            </w:pPr>
            <w:r>
              <w:rPr>
                <w:rFonts w:ascii="Arial" w:cs="Arial" w:eastAsia="Arial" w:hAnsi="Arial"/>
                <w:sz w:val="17"/>
                <w:szCs w:val="17"/>
                <w:color w:val="auto"/>
              </w:rPr>
              <w:t xml:space="preserve">Non-Mining revenues </w:t>
            </w:r>
            <w:r>
              <w:rPr>
                <w:rFonts w:ascii="Arial" w:cs="Arial" w:eastAsia="Arial" w:hAnsi="Arial"/>
                <w:sz w:val="28"/>
                <w:szCs w:val="28"/>
                <w:color w:val="auto"/>
                <w:vertAlign w:val="superscript"/>
              </w:rPr>
              <w:t>(1)</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(1,697)</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(971)</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(726)</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(3,775)</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(2,342)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21,767</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20,720</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1,047</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62,995</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51,643</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Purchases of electrical</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892</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1,836</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components and other</w:t>
            </w:r>
          </w:p>
        </w:tc>
        <w:tc>
          <w:tcPr>
            <w:tcW w:w="1060" w:type="dxa"/>
            <w:vAlign w:val="bottom"/>
            <w:vMerge w:val="continue"/>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690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14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1,262</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574</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Electrician salaries and payroll</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409</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1,220</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924</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b w:val="1"/>
                <w:bCs w:val="1"/>
                <w:color w:val="auto"/>
              </w:rPr>
              <w:t>Gross Mining profit</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12,505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16,789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(4,284)</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39,017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74,089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(35,072)</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Mining margin</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color w:val="auto"/>
              </w:rPr>
              <w:t>(1) Non-Mining revenues reconciliation:</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4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Three months ended September 30,</w:t>
            </w:r>
          </w:p>
        </w:tc>
        <w:tc>
          <w:tcPr>
            <w:tcW w:w="43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 Change</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 Change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34,596</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33,247</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1,349</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100,125</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115,391</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(15,266)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Less Mining related revenues</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w w:val="96"/>
              </w:rPr>
              <w:t>for the purpose of calculating</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gross Mining margin:</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Mining revenues</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(32,899)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(32,276)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(96,350)</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(113,049)</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16,699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1,697</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971</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3,775</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2,342</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48"/>
        </w:trPr>
        <w:tc>
          <w:tcPr>
            <w:tcW w:w="2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5760" w:type="dxa"/>
            <w:vAlign w:val="bottom"/>
            <w:gridSpan w:val="5"/>
          </w:tcPr>
          <w:p>
            <w:pPr>
              <w:jc w:val="right"/>
              <w:spacing w:after="0"/>
              <w:rPr>
                <w:sz w:val="20"/>
                <w:szCs w:val="20"/>
                <w:color w:val="auto"/>
              </w:rPr>
            </w:pPr>
            <w:r>
              <w:rPr>
                <w:rFonts w:ascii="Arial" w:cs="Arial" w:eastAsia="Arial" w:hAnsi="Arial"/>
                <w:sz w:val="18"/>
                <w:szCs w:val="18"/>
                <w:b w:val="1"/>
                <w:bCs w:val="1"/>
                <w:color w:val="auto"/>
              </w:rPr>
              <w:t>Bitfarms Ltd. Calculation of Direct Cost and Direct Cost per BTC</w:t>
            </w: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September 30,</w:t>
            </w:r>
          </w:p>
        </w:tc>
        <w:tc>
          <w:tcPr>
            <w:tcW w:w="43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40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 Change</w:t>
            </w:r>
          </w:p>
        </w:tc>
        <w:tc>
          <w:tcPr>
            <w:tcW w:w="1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2022</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43,462</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37,186</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6,276</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123,384</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92,789</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30,595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8"/>
                <w:szCs w:val="18"/>
                <w:color w:val="auto"/>
                <w:w w:val="99"/>
              </w:rPr>
              <w:t>Depreciation and amortization</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(21,767)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(20,720)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(62,995)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(51,643)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(11,352)</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of electrical</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(890)</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(1,830)</w:t>
            </w: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components</w:t>
            </w:r>
          </w:p>
        </w:tc>
        <w:tc>
          <w:tcPr>
            <w:tcW w:w="10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(688)</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280" w:type="dxa"/>
            <w:vAlign w:val="bottom"/>
            <w:vMerge w:val="continue"/>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7"/>
              </w:rPr>
              <w:t>Electrician salaries and payroll</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(409)</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(1,220)</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taxes</w:t>
            </w:r>
          </w:p>
        </w:tc>
        <w:tc>
          <w:tcPr>
            <w:tcW w:w="1060" w:type="dxa"/>
            <w:vAlign w:val="bottom"/>
            <w:vMerge w:val="continue"/>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280" w:type="dxa"/>
            <w:vAlign w:val="bottom"/>
            <w:vMerge w:val="continue"/>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Infrastructure</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(600)</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(1,060)</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460</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(2,303)</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(3,841)</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82</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Cost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19,796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14,765</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5,031</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55,118</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35,762</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Quantity of BTC earned</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1,172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1,515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3,692</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3,733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Direct Cost per BTC (in U.S.</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dollars)</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16,900</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9,700</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7,200</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14,900</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9,600</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26"/>
        </w:trPr>
        <w:tc>
          <w:tcPr>
            <w:tcW w:w="2400" w:type="dxa"/>
            <w:vAlign w:val="bottom"/>
          </w:tcPr>
          <w:p>
            <w:pPr>
              <w:spacing w:after="0"/>
              <w:rPr>
                <w:sz w:val="24"/>
                <w:szCs w:val="24"/>
                <w:color w:val="auto"/>
              </w:rPr>
            </w:pPr>
          </w:p>
        </w:tc>
        <w:tc>
          <w:tcPr>
            <w:tcW w:w="660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96"/>
              </w:rPr>
              <w:t>Bitfarms Ltd. Calculation of Total Cash Cost and Total Cash Cost per BTC</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September 30,</w:t>
            </w:r>
          </w:p>
        </w:tc>
        <w:tc>
          <w:tcPr>
            <w:tcW w:w="43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400" w:type="dxa"/>
            <w:vAlign w:val="bottom"/>
          </w:tcPr>
          <w:p>
            <w:pPr>
              <w:spacing w:after="0" w:line="195" w:lineRule="exact"/>
              <w:rPr>
                <w:sz w:val="20"/>
                <w:szCs w:val="20"/>
                <w:color w:val="auto"/>
              </w:rPr>
            </w:pPr>
            <w:r>
              <w:rPr>
                <w:rFonts w:ascii="Arial" w:cs="Arial" w:eastAsia="Arial" w:hAnsi="Arial"/>
                <w:sz w:val="18"/>
                <w:szCs w:val="18"/>
                <w:color w:val="auto"/>
              </w:rPr>
              <w:t>(U.S.$ in thousands except</w:t>
            </w: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 Change</w:t>
            </w:r>
          </w:p>
        </w:tc>
        <w:tc>
          <w:tcPr>
            <w:tcW w:w="1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2022</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loss before income taxes</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18,302</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89,533</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(71,231)</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46,686</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239,810</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(193,124)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8"/>
                <w:szCs w:val="18"/>
                <w:color w:val="auto"/>
              </w:rPr>
              <w:t>Revenues</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34,596</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33,247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1,349</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100,125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115,391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(15,266)</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and amortization</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(21,767)</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(20,720)</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(62,995)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(51,643)</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Purchases of electrical</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(890)</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(1,830)</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components</w:t>
            </w:r>
          </w:p>
        </w:tc>
        <w:tc>
          <w:tcPr>
            <w:tcW w:w="1060" w:type="dxa"/>
            <w:vAlign w:val="bottom"/>
            <w:vMerge w:val="continue"/>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(688)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280" w:type="dxa"/>
            <w:vAlign w:val="bottom"/>
            <w:vMerge w:val="continue"/>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Electrician salaries and payroll</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(409)</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(1,220)</w:t>
            </w: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280" w:type="dxa"/>
            <w:vAlign w:val="bottom"/>
            <w:vMerge w:val="continue"/>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payment</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(3,961)</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1,950</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(7,009)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(17,993)</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10,984</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Realized loss on disposition of</w:t>
            </w:r>
          </w:p>
        </w:tc>
        <w:tc>
          <w:tcPr>
            <w:tcW w:w="10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0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(44,329)</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44,329</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280" w:type="dxa"/>
            <w:vAlign w:val="bottom"/>
            <w:vMerge w:val="continue"/>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(122,243)</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122,243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(Reversal of) revaluation loss</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(1,183)</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1,512</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on digital assets</w:t>
            </w:r>
          </w:p>
        </w:tc>
        <w:tc>
          <w:tcPr>
            <w:tcW w:w="1060" w:type="dxa"/>
            <w:vAlign w:val="bottom"/>
            <w:vMerge w:val="continue"/>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45,655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(46,838)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1280" w:type="dxa"/>
            <w:vAlign w:val="bottom"/>
            <w:vMerge w:val="continue"/>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(21,118)</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22,630</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disposition of</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(217)</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(1,776)</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0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(756)</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1280" w:type="dxa"/>
            <w:vAlign w:val="bottom"/>
            <w:vMerge w:val="continue"/>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(1,692)</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Impairment on short-term</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w w:val="97"/>
              </w:rPr>
              <w:t>prepaid deposits, equipment</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and construction</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w w:val="96"/>
              </w:rPr>
              <w:t>prepayments, property, plant</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w w:val="99"/>
              </w:rPr>
              <w:t>and equipment and right-of-</w:t>
            </w: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(9,982)</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use assets</w:t>
            </w:r>
          </w:p>
        </w:tc>
        <w:tc>
          <w:tcPr>
            <w:tcW w:w="1060" w:type="dxa"/>
            <w:vAlign w:val="bottom"/>
            <w:vMerge w:val="continue"/>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(84,116)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84,116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280" w:type="dxa"/>
            <w:vAlign w:val="bottom"/>
            <w:vMerge w:val="continue"/>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(84,116)</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74,134</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financial income</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336</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8,251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(7,915)</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12,706</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24,191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(11,485)</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(179)</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336</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(97)</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633</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Arial" w:cs="Arial" w:eastAsia="Arial" w:hAnsi="Arial"/>
                <w:sz w:val="18"/>
                <w:szCs w:val="18"/>
                <w:b w:val="1"/>
                <w:bCs w:val="1"/>
                <w:color w:val="auto"/>
              </w:rPr>
              <w:t>Total Cash Cost</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26,578</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22,163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4,415</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76,120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61,144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14,976</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of BTC earned</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1,172</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1,515</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3,692</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3,733</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1"/>
        </w:trPr>
        <w:tc>
          <w:tcPr>
            <w:tcW w:w="2400" w:type="dxa"/>
            <w:vAlign w:val="bottom"/>
          </w:tcPr>
          <w:p>
            <w:pPr>
              <w:spacing w:after="0" w:line="191" w:lineRule="exact"/>
              <w:rPr>
                <w:sz w:val="20"/>
                <w:szCs w:val="20"/>
                <w:color w:val="auto"/>
              </w:rPr>
            </w:pPr>
            <w:r>
              <w:rPr>
                <w:rFonts w:ascii="Arial" w:cs="Arial" w:eastAsia="Arial" w:hAnsi="Arial"/>
                <w:sz w:val="18"/>
                <w:szCs w:val="18"/>
                <w:b w:val="1"/>
                <w:bCs w:val="1"/>
                <w:color w:val="auto"/>
                <w:w w:val="99"/>
              </w:rPr>
              <w:t>Total Cash Cost per BTC (in</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U.S. dollars)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22,700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14,600</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20,600</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16,400</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lowerLetter"/>
      <w:start w:val="1"/>
    </w:lvl>
  </w:abstractNum>
  <w:abstractNum w:abstractNumId="1">
    <w:nsid w:val="7E0C57B1"/>
    <w:multiLevelType w:val="hybridMultilevel"/>
    <w:lvl w:ilvl="0">
      <w:lvlJc w:val="left"/>
      <w:lvlText w:val="%1."/>
      <w:numFmt w:val="lowerLetter"/>
      <w:start w:val="2"/>
    </w:lvl>
  </w:abstractNum>
  <w:abstractNum w:abstractNumId="2">
    <w:nsid w:val="77AE35EB"/>
    <w:multiLevelType w:val="hybridMultilevel"/>
    <w:lvl w:ilvl="0">
      <w:lvlJc w:val="left"/>
      <w:lvlText w:val="%1."/>
      <w:numFmt w:val="lowerLetter"/>
      <w:start w:val="3"/>
    </w:lvl>
  </w:abstractNum>
  <w:abstractNum w:abstractNumId="3">
    <w:nsid w:val="579BE4F1"/>
    <w:multiLevelType w:val="hybridMultilevel"/>
    <w:lvl w:ilvl="0">
      <w:lvlJc w:val="left"/>
      <w:lvlText w:val="%1."/>
      <w:numFmt w:val="lowerLetter"/>
      <w:start w:val="1"/>
    </w:lvl>
  </w:abstractNum>
  <w:abstractNum w:abstractNumId="4">
    <w:nsid w:val="310C50B3"/>
    <w:multiLevelType w:val="hybridMultilevel"/>
    <w:lvl w:ilvl="0">
      <w:lvlJc w:val="left"/>
      <w:lvlText w:val="%1."/>
      <w:numFmt w:val="lowerLetter"/>
      <w:start w:val="2"/>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1"/>
    </w:lvl>
  </w:abstractNum>
  <w:abstractNum w:abstractNumId="7">
    <w:nsid w:val="25A70BF7"/>
    <w:multiLevelType w:val="hybridMultilevel"/>
    <w:lvl w:ilvl="0">
      <w:lvlJc w:val="left"/>
      <w:lvlText w:val="%1."/>
      <w:numFmt w:val="lowerRoman"/>
      <w:start w:val="2"/>
    </w:lvl>
  </w:abstractNum>
  <w:abstractNum w:abstractNumId="8">
    <w:nsid w:val="1DBABF00"/>
    <w:multiLevelType w:val="hybridMultilevel"/>
    <w:lvl w:ilvl="0">
      <w:lvlJc w:val="left"/>
      <w:lvlText w:val="%1."/>
      <w:numFmt w:val="lowerRoman"/>
      <w:start w:val="1"/>
    </w:lvl>
  </w:abstractNum>
  <w:abstractNum w:abstractNumId="9">
    <w:nsid w:val="4AD084E9"/>
    <w:multiLevelType w:val="hybridMultilevel"/>
    <w:lvl w:ilvl="0">
      <w:lvlJc w:val="left"/>
      <w:lvlText w:val="%1."/>
      <w:numFmt w:val="lowerRoman"/>
      <w:start w:val="2"/>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1."/>
      <w:numFmt w:val="lowerLetter"/>
      <w:start w:val="2"/>
    </w:lvl>
  </w:abstractNum>
  <w:abstractNum w:abstractNumId="14">
    <w:nsid w:val="6590700B"/>
    <w:multiLevelType w:val="hybridMultilevel"/>
    <w:lvl w:ilvl="0">
      <w:lvlJc w:val="left"/>
      <w:lvlText w:val="%1."/>
      <w:numFmt w:val="lowerLetter"/>
      <w:start w:val="3"/>
    </w:lvl>
  </w:abstractNum>
  <w:abstractNum w:abstractNumId="15">
    <w:nsid w:val="15014ACB"/>
    <w:multiLevelType w:val="hybridMultilevel"/>
    <w:lvl w:ilvl="0">
      <w:lvlJc w:val="left"/>
      <w:lvlText w:val="%1"/>
      <w:numFmt w:val="decimal"/>
      <w:start w:val="55"/>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1."/>
      <w:numFmt w:val="lowerRoman"/>
      <w:start w:val="1"/>
    </w:lvl>
  </w:abstractNum>
  <w:abstractNum w:abstractNumId="19">
    <w:nsid w:val="6B94764"/>
    <w:multiLevelType w:val="hybridMultilevel"/>
    <w:lvl w:ilvl="0">
      <w:lvlJc w:val="left"/>
      <w:lvlText w:val="%1."/>
      <w:numFmt w:val="lowerRoman"/>
      <w:start w:val="2"/>
    </w:lvl>
  </w:abstractNum>
  <w:abstractNum w:abstractNumId="20">
    <w:nsid w:val="42C296BD"/>
    <w:multiLevelType w:val="hybridMultilevel"/>
    <w:lvl w:ilvl="0">
      <w:lvlJc w:val="left"/>
      <w:lvlText w:val="%1."/>
      <w:numFmt w:val="lowerRoman"/>
      <w:start w:val="3"/>
    </w:lvl>
  </w:abstractNum>
  <w:abstractNum w:abstractNumId="21">
    <w:nsid w:val="168E121F"/>
    <w:multiLevelType w:val="hybridMultilevel"/>
    <w:lvl w:ilvl="0">
      <w:lvlJc w:val="left"/>
      <w:lvlText w:val="%1."/>
      <w:numFmt w:val="lowerLetter"/>
      <w:start w:val="1"/>
    </w:lvl>
  </w:abstractNum>
  <w:abstractNum w:abstractNumId="22">
    <w:nsid w:val="1EBA5D23"/>
    <w:multiLevelType w:val="hybridMultilevel"/>
    <w:lvl w:ilvl="0">
      <w:lvlJc w:val="left"/>
      <w:lvlText w:val="%1."/>
      <w:numFmt w:val="lowerLetter"/>
      <w:start w:val="2"/>
    </w:lvl>
  </w:abstractNum>
  <w:abstractNum w:abstractNumId="23">
    <w:nsid w:val="661E3F1E"/>
    <w:multiLevelType w:val="hybridMultilevel"/>
    <w:lvl w:ilvl="0">
      <w:lvlJc w:val="left"/>
      <w:lvlText w:val="%1."/>
      <w:numFmt w:val="lowerLetter"/>
      <w:start w:val="3"/>
    </w:lvl>
  </w:abstractNum>
  <w:abstractNum w:abstractNumId="24">
    <w:nsid w:val="5DC79EA8"/>
    <w:multiLevelType w:val="hybridMultilevel"/>
    <w:lvl w:ilvl="0">
      <w:lvlJc w:val="left"/>
      <w:lvlText w:val="1"/>
      <w:numFmt w:val="bullet"/>
      <w:start w:val="1"/>
    </w:lvl>
  </w:abstractNum>
  <w:abstractNum w:abstractNumId="25">
    <w:nsid w:val="540A471C"/>
    <w:multiLevelType w:val="hybridMultilevel"/>
    <w:lvl w:ilvl="0">
      <w:lvlJc w:val="left"/>
      <w:lvlText w:val="2"/>
      <w:numFmt w:val="bullet"/>
      <w:start w:val="1"/>
    </w:lvl>
  </w:abstractNum>
  <w:abstractNum w:abstractNumId="26">
    <w:nsid w:val="7BD3EE7B"/>
    <w:multiLevelType w:val="hybridMultilevel"/>
    <w:lvl w:ilvl="0">
      <w:lvlJc w:val="left"/>
      <w:lvlText w:val="1"/>
      <w:numFmt w:val="bullet"/>
      <w:start w:val="1"/>
    </w:lvl>
  </w:abstractNum>
  <w:abstractNum w:abstractNumId="27">
    <w:nsid w:val="51D9C564"/>
    <w:multiLevelType w:val="hybridMultilevel"/>
    <w:lvl w:ilvl="0">
      <w:lvlJc w:val="left"/>
      <w:lvlText w:val="2"/>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1"/>
      <w:numFmt w:val="bullet"/>
      <w:start w:val="1"/>
    </w:lvl>
  </w:abstractNum>
  <w:abstractNum w:abstractNumId="36">
    <w:nsid w:val="68EB2F63"/>
    <w:multiLevelType w:val="hybridMultilevel"/>
    <w:lvl w:ilvl="0">
      <w:lvlJc w:val="left"/>
      <w:lvlText w:val="2"/>
      <w:numFmt w:val="bullet"/>
      <w:start w:val="1"/>
    </w:lvl>
  </w:abstractNum>
  <w:abstractNum w:abstractNumId="37">
    <w:nsid w:val="4962813B"/>
    <w:multiLevelType w:val="hybridMultilevel"/>
    <w:lvl w:ilvl="0">
      <w:lvlJc w:val="left"/>
      <w:lvlText w:val="%1."/>
      <w:numFmt w:val="decimal"/>
      <w:start w:val="5"/>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upperLetter"/>
      <w:start w:val="1"/>
    </w:lvl>
  </w:abstractNum>
  <w:abstractNum w:abstractNumId="42">
    <w:nsid w:val="1A27709E"/>
    <w:multiLevelType w:val="hybridMultilevel"/>
    <w:lvl w:ilvl="0">
      <w:lvlJc w:val="left"/>
      <w:lvlText w:val="%1."/>
      <w:numFmt w:val="upperLetter"/>
      <w:start w:val="1"/>
    </w:lvl>
  </w:abstractNum>
  <w:abstractNum w:abstractNumId="43">
    <w:nsid w:val="71EA1109"/>
    <w:multiLevelType w:val="hybridMultilevel"/>
    <w:lvl w:ilvl="0">
      <w:lvlJc w:val="left"/>
      <w:lvlText w:val="%1."/>
      <w:numFmt w:val="upperLetter"/>
      <w:start w:val="2"/>
    </w:lvl>
  </w:abstractNum>
  <w:abstractNum w:abstractNumId="44">
    <w:nsid w:val="100F59DC"/>
    <w:multiLevelType w:val="hybridMultilevel"/>
    <w:lvl w:ilvl="0">
      <w:lvlJc w:val="left"/>
      <w:lvlText w:val="%1."/>
      <w:numFmt w:val="upperLetter"/>
      <w:start w:val="2"/>
    </w:lvl>
  </w:abstractNum>
  <w:abstractNum w:abstractNumId="45">
    <w:nsid w:val="7FB7E0AA"/>
    <w:multiLevelType w:val="hybridMultilevel"/>
    <w:lvl w:ilvl="0">
      <w:lvlJc w:val="left"/>
      <w:lvlText w:val="%1."/>
      <w:numFmt w:val="upperLetter"/>
      <w:start w:val="3"/>
    </w:lvl>
  </w:abstractNum>
  <w:abstractNum w:abstractNumId="46">
    <w:nsid w:val="6EB5BD4"/>
    <w:multiLevelType w:val="hybridMultilevel"/>
    <w:lvl w:ilvl="0">
      <w:lvlJc w:val="left"/>
      <w:lvlText w:val="%1."/>
      <w:numFmt w:val="upperLetter"/>
      <w:start w:val="4"/>
    </w:lvl>
  </w:abstractNum>
  <w:abstractNum w:abstractNumId="47">
    <w:nsid w:val="6F6DD9AC"/>
    <w:multiLevelType w:val="hybridMultilevel"/>
    <w:lvl w:ilvl="0">
      <w:lvlJc w:val="left"/>
      <w:lvlText w:val="%1."/>
      <w:numFmt w:val="decimal"/>
      <w:start w:val="7"/>
    </w:lvl>
  </w:abstractNum>
  <w:abstractNum w:abstractNumId="48">
    <w:nsid w:val="94211F2"/>
    <w:multiLevelType w:val="hybridMultilevel"/>
    <w:lvl w:ilvl="0">
      <w:lvlJc w:val="left"/>
      <w:lvlText w:val="1"/>
      <w:numFmt w:val="bullet"/>
      <w:start w:val="1"/>
    </w:lvl>
  </w:abstractNum>
  <w:abstractNum w:abstractNumId="49">
    <w:nsid w:val="885E1B"/>
    <w:multiLevelType w:val="hybridMultilevel"/>
    <w:lvl w:ilvl="0">
      <w:lvlJc w:val="left"/>
      <w:lvlText w:val="2"/>
      <w:numFmt w:val="bullet"/>
      <w:start w:val="1"/>
    </w:lvl>
  </w:abstractNum>
  <w:abstractNum w:abstractNumId="50">
    <w:nsid w:val="76272110"/>
    <w:multiLevelType w:val="hybridMultilevel"/>
    <w:lvl w:ilvl="0">
      <w:lvlJc w:val="left"/>
      <w:lvlText w:val="%1."/>
      <w:numFmt w:val="upperLetter"/>
      <w:start w:val="1"/>
    </w:lvl>
  </w:abstractNum>
  <w:abstractNum w:abstractNumId="51">
    <w:nsid w:val="4C04A8AF"/>
    <w:multiLevelType w:val="hybridMultilevel"/>
    <w:lvl w:ilvl="0">
      <w:lvlJc w:val="left"/>
      <w:lvlText w:val="1"/>
      <w:numFmt w:val="bullet"/>
      <w:start w:val="1"/>
    </w:lvl>
  </w:abstractNum>
  <w:abstractNum w:abstractNumId="52">
    <w:nsid w:val="1716703B"/>
    <w:multiLevelType w:val="hybridMultilevel"/>
    <w:lvl w:ilvl="0">
      <w:lvlJc w:val="left"/>
      <w:lvlText w:val="2"/>
      <w:numFmt w:val="bullet"/>
      <w:start w:val="1"/>
    </w:lvl>
  </w:abstractNum>
  <w:abstractNum w:abstractNumId="53">
    <w:nsid w:val="14E17E33"/>
    <w:multiLevelType w:val="hybridMultilevel"/>
    <w:lvl w:ilvl="0">
      <w:lvlJc w:val="left"/>
      <w:lvlText w:val="3"/>
      <w:numFmt w:val="bullet"/>
      <w:start w:val="1"/>
    </w:lvl>
  </w:abstractNum>
  <w:abstractNum w:abstractNumId="54">
    <w:nsid w:val="3222E7CD"/>
    <w:multiLevelType w:val="hybridMultilevel"/>
    <w:lvl w:ilvl="0">
      <w:lvlJc w:val="left"/>
      <w:lvlText w:val="%1."/>
      <w:numFmt w:val="upperLetter"/>
      <w:start w:val="1"/>
    </w:lvl>
  </w:abstractNum>
  <w:abstractNum w:abstractNumId="55">
    <w:nsid w:val="74DE0EE3"/>
    <w:multiLevelType w:val="hybridMultilevel"/>
    <w:lvl w:ilvl="0">
      <w:lvlJc w:val="left"/>
      <w:lvlText w:val="%1."/>
      <w:numFmt w:val="upperLetter"/>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1."/>
      <w:numFmt w:val="upperLetter"/>
      <w:start w:val="3"/>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1."/>
      <w:numFmt w:val="upperLetter"/>
      <w:start w:val="3"/>
    </w:lvl>
  </w:abstractNum>
  <w:abstractNum w:abstractNumId="64">
    <w:nsid w:val="60EF0119"/>
    <w:multiLevelType w:val="hybridMultilevel"/>
    <w:lvl w:ilvl="0">
      <w:lvlJc w:val="left"/>
      <w:lvlText w:val="●"/>
      <w:numFmt w:val="bullet"/>
      <w:start w:val="1"/>
    </w:lvl>
    <w:lvl w:ilvl="1">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1."/>
      <w:numFmt w:val="upperLetter"/>
      <w:start w:val="4"/>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1."/>
      <w:numFmt w:val="upperLetter"/>
      <w:start w:val="4"/>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lvl w:ilvl="1">
      <w:lvlJc w:val="left"/>
      <w:lvlText w:val="◦"/>
      <w:numFmt w:val="bullet"/>
      <w:start w:val="1"/>
    </w:lvl>
  </w:abstractNum>
  <w:abstractNum w:abstractNumId="73">
    <w:nsid w:val="6AA78F7F"/>
    <w:multiLevelType w:val="hybridMultilevel"/>
    <w:lvl w:ilvl="0">
      <w:lvlJc w:val="left"/>
      <w:lvlText w:val="%1."/>
      <w:numFmt w:val="upperLetter"/>
      <w:start w:val="5"/>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1"/>
      <w:numFmt w:val="bullet"/>
      <w:start w:val="1"/>
    </w:lvl>
  </w:abstractNum>
  <w:abstractNum w:abstractNumId="76">
    <w:nsid w:val="6A5F7029"/>
    <w:multiLevelType w:val="hybridMultilevel"/>
    <w:lvl w:ilvl="0">
      <w:lvlJc w:val="left"/>
      <w:lvlText w:val="%1."/>
      <w:numFmt w:val="decimal"/>
      <w:start w:val="9"/>
    </w:lvl>
  </w:abstractNum>
  <w:abstractNum w:abstractNumId="77">
    <w:nsid w:val="7D5E18F8"/>
    <w:multiLevelType w:val="hybridMultilevel"/>
    <w:lvl w:ilvl="0">
      <w:lvlJc w:val="left"/>
      <w:lvlText w:val="%1."/>
      <w:numFmt w:val="upperLetter"/>
      <w:start w:val="1"/>
    </w:lvl>
  </w:abstractNum>
  <w:abstractNum w:abstractNumId="78">
    <w:nsid w:val="5F3534A4"/>
    <w:multiLevelType w:val="hybridMultilevel"/>
    <w:lvl w:ilvl="0">
      <w:lvlJc w:val="left"/>
      <w:lvlText w:val="%1."/>
      <w:numFmt w:val="upperLetter"/>
      <w:start w:val="2"/>
    </w:lvl>
  </w:abstractNum>
  <w:abstractNum w:abstractNumId="79">
    <w:nsid w:val="73A1821B"/>
    <w:multiLevelType w:val="hybridMultilevel"/>
    <w:lvl w:ilvl="0">
      <w:lvlJc w:val="left"/>
      <w:lvlText w:val="%1."/>
      <w:numFmt w:val="upperLetter"/>
      <w:start w:val="3"/>
    </w:lvl>
  </w:abstractNum>
  <w:abstractNum w:abstractNumId="80">
    <w:nsid w:val="7DE67713"/>
    <w:multiLevelType w:val="hybridMultilevel"/>
    <w:lvl w:ilvl="0">
      <w:lvlJc w:val="left"/>
      <w:lvlText w:val="%1."/>
      <w:numFmt w:val="upperLetter"/>
      <w:start w:val="4"/>
    </w:lvl>
  </w:abstractNum>
  <w:abstractNum w:abstractNumId="81">
    <w:nsid w:val="555C55B5"/>
    <w:multiLevelType w:val="hybridMultilevel"/>
    <w:lvl w:ilvl="0">
      <w:lvlJc w:val="left"/>
      <w:lvlText w:val="%1."/>
      <w:numFmt w:val="upperLetter"/>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1."/>
      <w:numFmt w:val="upperLetter"/>
      <w:start w:val="1"/>
    </w:lvl>
  </w:abstractNum>
  <w:abstractNum w:abstractNumId="87">
    <w:nsid w:val="53299938"/>
    <w:multiLevelType w:val="hybridMultilevel"/>
    <w:lvl w:ilvl="0">
      <w:lvlJc w:val="left"/>
      <w:lvlText w:val="●"/>
      <w:numFmt w:val="bullet"/>
      <w:start w:val="1"/>
    </w:lvl>
    <w:lvl w:ilvl="1">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1."/>
      <w:numFmt w:val="upperLetter"/>
      <w:start w:val="1"/>
    </w:lvl>
  </w:abstractNum>
  <w:abstractNum w:abstractNumId="90">
    <w:nsid w:val="1D545C4D"/>
    <w:multiLevelType w:val="hybridMultilevel"/>
    <w:lvl w:ilvl="0">
      <w:lvlJc w:val="left"/>
      <w:lvlText w:val="%1."/>
      <w:numFmt w:val="upperLetter"/>
      <w:start w:val="1"/>
    </w:lvl>
  </w:abstractNum>
  <w:abstractNum w:abstractNumId="91">
    <w:nsid w:val="59ADEA3D"/>
    <w:multiLevelType w:val="hybridMultilevel"/>
    <w:lvl w:ilvl="0">
      <w:lvlJc w:val="left"/>
      <w:lvlText w:val="%1."/>
      <w:numFmt w:val="upperLetter"/>
      <w:start w:val="2"/>
    </w:lvl>
  </w:abstractNum>
  <w:abstractNum w:abstractNumId="92">
    <w:nsid w:val="288F1A34"/>
    <w:multiLevelType w:val="hybridMultilevel"/>
    <w:lvl w:ilvl="0">
      <w:lvlJc w:val="left"/>
      <w:lvlText w:val="%1."/>
      <w:numFmt w:val="upperLetter"/>
      <w:start w:val="2"/>
    </w:lvl>
  </w:abstractNum>
  <w:abstractNum w:abstractNumId="93">
    <w:nsid w:val="2A155DBC"/>
    <w:multiLevelType w:val="hybridMultilevel"/>
    <w:lvl w:ilvl="0">
      <w:lvlJc w:val="left"/>
      <w:lvlText w:val="%1."/>
      <w:numFmt w:val="upperLetter"/>
      <w:start w:val="2"/>
    </w:lvl>
  </w:abstractNum>
  <w:abstractNum w:abstractNumId="94">
    <w:nsid w:val="1D9F6E5F"/>
    <w:multiLevelType w:val="hybridMultilevel"/>
    <w:lvl w:ilvl="0">
      <w:lvlJc w:val="left"/>
      <w:lvlText w:val="%1."/>
      <w:numFmt w:val="upperLetter"/>
      <w:start w:val="3"/>
    </w:lvl>
  </w:abstractNum>
  <w:abstractNum w:abstractNumId="95">
    <w:nsid w:val="97E1B4E"/>
    <w:multiLevelType w:val="hybridMultilevel"/>
    <w:lvl w:ilvl="0">
      <w:lvlJc w:val="left"/>
      <w:lvlText w:val="%1."/>
      <w:numFmt w:val="upperLetter"/>
      <w:start w:val="5"/>
    </w:lvl>
  </w:abstractNum>
  <w:abstractNum w:abstractNumId="96">
    <w:nsid w:val="51088277"/>
    <w:multiLevelType w:val="hybridMultilevel"/>
    <w:lvl w:ilvl="0">
      <w:lvlJc w:val="left"/>
      <w:lvlText w:val="%1."/>
      <w:numFmt w:val="upperLetter"/>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1."/>
      <w:numFmt w:val="upperLetter"/>
      <w:start w:val="2"/>
    </w:lvl>
  </w:abstractNum>
  <w:abstractNum w:abstractNumId="100">
    <w:nsid w:val="7C58FD05"/>
    <w:multiLevelType w:val="hybridMultilevel"/>
    <w:lvl w:ilvl="0">
      <w:lvlJc w:val="left"/>
      <w:lvlText w:val="%1."/>
      <w:numFmt w:val="upperLetter"/>
      <w:start w:val="3"/>
    </w:lvl>
  </w:abstractNum>
  <w:abstractNum w:abstractNumId="101">
    <w:nsid w:val="23D86AAC"/>
    <w:multiLevelType w:val="hybridMultilevel"/>
    <w:lvl w:ilvl="0">
      <w:lvlJc w:val="left"/>
      <w:lvlText w:val="%1."/>
      <w:numFmt w:val="upperLetter"/>
      <w:start w:val="1"/>
    </w:lvl>
  </w:abstractNum>
  <w:abstractNum w:abstractNumId="102">
    <w:nsid w:val="45E6D486"/>
    <w:multiLevelType w:val="hybridMultilevel"/>
    <w:lvl w:ilvl="0">
      <w:lvlJc w:val="left"/>
      <w:lvlText w:val="%1)"/>
      <w:numFmt w:val="lowerRoman"/>
      <w:start w:val="1"/>
    </w:lvl>
  </w:abstractNum>
  <w:abstractNum w:abstractNumId="103">
    <w:nsid w:val="5C10FE21"/>
    <w:multiLevelType w:val="hybridMultilevel"/>
    <w:lvl w:ilvl="0">
      <w:lvlJc w:val="left"/>
      <w:lvlText w:val="%1."/>
      <w:numFmt w:val="upperLetter"/>
      <w:start w:val="2"/>
    </w:lvl>
  </w:abstractNum>
  <w:abstractNum w:abstractNumId="104">
    <w:nsid w:val="E7FFA2B"/>
    <w:multiLevelType w:val="hybridMultilevel"/>
    <w:lvl w:ilvl="0">
      <w:lvlJc w:val="left"/>
      <w:lvlText w:val="%1."/>
      <w:numFmt w:val="upperLetter"/>
      <w:start w:val="3"/>
    </w:lvl>
  </w:abstractNum>
  <w:abstractNum w:abstractNumId="105">
    <w:nsid w:val="3C5991AA"/>
    <w:multiLevelType w:val="hybridMultilevel"/>
    <w:lvl w:ilvl="0">
      <w:lvlJc w:val="left"/>
      <w:lvlText w:val="%1."/>
      <w:numFmt w:val="upperLetter"/>
      <w:start w:val="4"/>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9">
    <w:nsid w:val="2B0D8DBE"/>
    <w:multiLevelType w:val="hybridMultilevel"/>
    <w:lvl w:ilvl="0">
      <w:lvlJc w:val="left"/>
      <w:lvlText w:val="%1."/>
      <w:numFmt w:val="decimal"/>
      <w:start w:val="6"/>
    </w:lvl>
  </w:abstractNum>
  <w:abstractNum w:abstractNumId="110">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379E21B5"/>
    <w:multiLevelType w:val="hybridMultilevel"/>
    <w:lvl w:ilvl="0">
      <w:lvlJc w:val="left"/>
      <w:lvlText w:val="%1."/>
      <w:numFmt w:val="decimal"/>
      <w:start w:val="6"/>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lvl w:ilvl="1">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2023-11-07T07:15:04Z</dcterms:created>
  <dcterms:modified xsi:type="dcterms:W3CDTF">2023-11-07T07:15:04Z</dcterms:modified>
</cp:coreProperties>
</file>