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Exhibits 99.1 and 99.2 shall be deemed to be incorporated by reference as exhibits 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w:t>
      </w:r>
    </w:p>
    <w:p>
      <w:pPr>
        <w:spacing w:after="0" w:line="2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333-272989) and Form S-8 (File No. </w:t>
      </w:r>
      <w:hyperlink r:id="rId20">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21">
        <w:r>
          <w:rPr>
            <w:rFonts w:ascii="Times New Roman" w:cs="Times New Roman" w:eastAsia="Times New Roman" w:hAnsi="Times New Roman"/>
            <w:sz w:val="18"/>
            <w:szCs w:val="18"/>
            <w:u w:val="single" w:color="auto"/>
            <w:color w:val="0000EE"/>
          </w:rPr>
          <w:t>333-285894</w:t>
        </w:r>
      </w:hyperlink>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for the three and six months ended June 30, 2025</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75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&amp; Analysis for the three and six months ended June 30, 2025</w:t>
            </w:r>
          </w:p>
        </w:tc>
        <w:tc>
          <w:tcPr>
            <w:tcW w:w="260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CEO Certification of Interim Filings - Interim Certificate dated August 12, 2025</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CEEFF"/>
            </w:tcBorders>
          </w:tcPr>
          <w:p>
            <w:pPr>
              <w:spacing w:after="0"/>
              <w:rPr>
                <w:sz w:val="15"/>
                <w:szCs w:val="15"/>
                <w:color w:val="auto"/>
              </w:rPr>
            </w:pPr>
          </w:p>
        </w:tc>
        <w:tc>
          <w:tcPr>
            <w:tcW w:w="578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CFO Certification of Interim Filings - Interim Certificate dated August 12, 2025</w:t>
            </w:r>
          </w:p>
        </w:tc>
        <w:tc>
          <w:tcPr>
            <w:tcW w:w="4320" w:type="dxa"/>
            <w:vAlign w:val="bottom"/>
            <w:tcBorders>
              <w:top w:val="single" w:sz="8" w:color="CCEEFF"/>
            </w:tcBorders>
            <w:gridSpan w:val="3"/>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3642995"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64299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shd w:val="clear" w:color="auto" w:fill="CCEEFF"/>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3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Financial Position</w:t>
            </w:r>
          </w:p>
        </w:tc>
        <w:tc>
          <w:tcPr>
            <w:tcW w:w="2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Statements of Profit or Loss and Comprehensive Profit or Loss</w:t>
            </w:r>
          </w:p>
        </w:tc>
        <w:tc>
          <w:tcPr>
            <w:tcW w:w="224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83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Changes in Equity</w:t>
            </w:r>
          </w:p>
        </w:tc>
        <w:tc>
          <w:tcPr>
            <w:tcW w:w="2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rPr>
                <w:sz w:val="15"/>
                <w:szCs w:val="15"/>
                <w:color w:val="auto"/>
              </w:rPr>
            </w:pPr>
          </w:p>
        </w:tc>
        <w:tc>
          <w:tcPr>
            <w:tcW w:w="83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w:t>
            </w:r>
          </w:p>
        </w:tc>
        <w:tc>
          <w:tcPr>
            <w:tcW w:w="2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shd w:val="clear" w:color="auto" w:fill="CCEEFF"/>
          </w:tcPr>
          <w:p>
            <w:pPr>
              <w:spacing w:after="0"/>
              <w:rPr>
                <w:sz w:val="18"/>
                <w:szCs w:val="18"/>
                <w:color w:val="auto"/>
              </w:rPr>
            </w:pPr>
          </w:p>
        </w:tc>
        <w:tc>
          <w:tcPr>
            <w:tcW w:w="10120" w:type="dxa"/>
            <w:vAlign w:val="bottom"/>
            <w:tcBorders>
              <w:right w:val="single" w:sz="8" w:color="CCEEFF"/>
            </w:tcBorders>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Nature of Operations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12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Liquidity</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Basis of Presentation and Material Accounting Policy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354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Significant Accounting Judgments and Estimates</w:t>
            </w:r>
          </w:p>
        </w:tc>
        <w:tc>
          <w:tcPr>
            <w:tcW w:w="6580" w:type="dxa"/>
            <w:vAlign w:val="bottom"/>
            <w:tcBorders>
              <w:bottom w:val="single" w:sz="8" w:color="CCEEFF"/>
              <w:right w:val="single" w:sz="8" w:color="CCEEFF"/>
            </w:tcBorders>
            <w:gridSpan w:val="5"/>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Business Combination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12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Sale of the Yguazu Mining Site</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26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Rights to energy credits</w:t>
            </w:r>
          </w:p>
        </w:tc>
        <w:tc>
          <w:tcPr>
            <w:tcW w:w="7860" w:type="dxa"/>
            <w:vAlign w:val="bottom"/>
            <w:tcBorders>
              <w:top w:val="single" w:sz="8" w:color="CCEEFF"/>
            </w:tcBorders>
            <w:gridSpan w:val="9"/>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12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Digital Assets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Inventories</w:t>
            </w:r>
          </w:p>
        </w:tc>
        <w:tc>
          <w:tcPr>
            <w:tcW w:w="9120" w:type="dxa"/>
            <w:vAlign w:val="bottom"/>
            <w:tcBorders>
              <w:top w:val="single" w:sz="8" w:color="CCEEFF"/>
            </w:tcBorders>
            <w:gridSpan w:val="23"/>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12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Derivative Assets and Liabilities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3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Assets Held for Sale</w:t>
            </w:r>
          </w:p>
        </w:tc>
        <w:tc>
          <w:tcPr>
            <w:tcW w:w="7780" w:type="dxa"/>
            <w:vAlign w:val="bottom"/>
            <w:tcBorders>
              <w:top w:val="single" w:sz="8" w:color="CCEEFF"/>
            </w:tcBorders>
            <w:gridSpan w:val="8"/>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Impairment</w:t>
            </w:r>
          </w:p>
        </w:tc>
        <w:tc>
          <w:tcPr>
            <w:tcW w:w="9280" w:type="dxa"/>
            <w:vAlign w:val="bottom"/>
            <w:tcBorders>
              <w:bottom w:val="single" w:sz="8" w:color="CCEEFF"/>
              <w:right w:val="single" w:sz="8" w:color="CCEEFF"/>
            </w:tcBorders>
            <w:gridSpan w:val="25"/>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35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Long-term Deposits and Equipment Prepayments</w:t>
            </w:r>
          </w:p>
        </w:tc>
        <w:tc>
          <w:tcPr>
            <w:tcW w:w="656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Refundable Deposits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12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Investment in Associate</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Trade Payables and Accrued Liabilities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12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Warrant Liabilities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34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Long-term Debt</w:t>
            </w:r>
          </w:p>
        </w:tc>
        <w:tc>
          <w:tcPr>
            <w:tcW w:w="8780" w:type="dxa"/>
            <w:vAlign w:val="bottom"/>
            <w:tcBorders>
              <w:top w:val="single" w:sz="8" w:color="CCEEFF"/>
            </w:tcBorders>
            <w:gridSpan w:val="21"/>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Income Taxes</w:t>
            </w:r>
          </w:p>
        </w:tc>
        <w:tc>
          <w:tcPr>
            <w:tcW w:w="9120" w:type="dxa"/>
            <w:vAlign w:val="bottom"/>
            <w:tcBorders>
              <w:bottom w:val="single" w:sz="8" w:color="CCEEFF"/>
              <w:right w:val="single" w:sz="8" w:color="CCEEFF"/>
            </w:tcBorders>
            <w:gridSpan w:val="2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5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Instruments</w:t>
            </w:r>
          </w:p>
        </w:tc>
        <w:tc>
          <w:tcPr>
            <w:tcW w:w="8560" w:type="dxa"/>
            <w:vAlign w:val="bottom"/>
            <w:tcBorders>
              <w:bottom w:val="single" w:sz="8" w:color="CCEEFF"/>
              <w:right w:val="single" w:sz="8" w:color="CCEEFF"/>
            </w:tcBorders>
            <w:gridSpan w:val="15"/>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Net Loss Per Share</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6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Share-based Payments</w:t>
            </w:r>
          </w:p>
        </w:tc>
        <w:tc>
          <w:tcPr>
            <w:tcW w:w="8500" w:type="dxa"/>
            <w:vAlign w:val="bottom"/>
            <w:tcBorders>
              <w:bottom w:val="single" w:sz="8" w:color="CCEEFF"/>
              <w:right w:val="single" w:sz="8" w:color="CCEEFF"/>
            </w:tcBorders>
            <w:gridSpan w:val="1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 of Profit or Loss and Comprehensive Profit or Loss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012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Geographical Information</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4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Contingent Liability and Lawsuits</w:t>
            </w:r>
          </w:p>
        </w:tc>
        <w:tc>
          <w:tcPr>
            <w:tcW w:w="7660" w:type="dxa"/>
            <w:vAlign w:val="bottom"/>
            <w:tcBorders>
              <w:bottom w:val="single" w:sz="8" w:color="CCEEFF"/>
              <w:right w:val="single" w:sz="8" w:color="CCEEFF"/>
            </w:tcBorders>
            <w:gridSpan w:val="7"/>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101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Subsequent Events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80" w:type="dxa"/>
            <w:vAlign w:val="bottom"/>
            <w:tcBorders>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0120" w:type="dxa"/>
            <w:vAlign w:val="bottom"/>
            <w:tcBorders>
              <w:right w:val="single" w:sz="8" w:color="auto"/>
            </w:tcBorders>
            <w:gridSpan w:val="28"/>
          </w:tcPr>
          <w:p>
            <w:pPr>
              <w:ind w:left="99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4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FINANCIAL POSITION </w:t>
      </w: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8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58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91"/>
        </w:trPr>
        <w:tc>
          <w:tcPr>
            <w:tcW w:w="58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85,439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59,542</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9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3,942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from disposal of business</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15,087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9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5,671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7,285</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8,126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14,554</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to energy credits</w:t>
            </w:r>
          </w:p>
        </w:tc>
        <w:tc>
          <w:tcPr>
            <w:tcW w:w="2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5,572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471</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59,029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87,298</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 restricted</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66,922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32,826</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7,112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10, 22</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15,705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r>
      <w:tr>
        <w:trPr>
          <w:trHeight w:val="216"/>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5,185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5,923</w:t>
            </w:r>
          </w:p>
        </w:tc>
      </w:tr>
      <w:tr>
        <w:trPr>
          <w:trHeight w:val="209"/>
        </w:trPr>
        <w:tc>
          <w:tcPr>
            <w:tcW w:w="58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278,261</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213,709</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13, 26</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477,086</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348,525</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22,713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23,020</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w:t>
            </w:r>
          </w:p>
        </w:tc>
        <w:tc>
          <w:tcPr>
            <w:tcW w:w="2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15,139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56,367</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Refundable deposits</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5,430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21,956</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9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3,449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4,039</w:t>
            </w:r>
          </w:p>
        </w:tc>
      </w:tr>
      <w:tr>
        <w:trPr>
          <w:trHeight w:val="216"/>
        </w:trPr>
        <w:tc>
          <w:tcPr>
            <w:tcW w:w="5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associate</w:t>
            </w:r>
          </w:p>
        </w:tc>
        <w:tc>
          <w:tcPr>
            <w:tcW w:w="2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827,950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667,616</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48,853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25,894</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10, 22</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13,082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581</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9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3,407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2,089</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obligations</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18,396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5,151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r>
        <w:trPr>
          <w:trHeight w:val="209"/>
        </w:trPr>
        <w:tc>
          <w:tcPr>
            <w:tcW w:w="58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89,470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36,270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50,999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9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19,922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19,750</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3,422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9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29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1,586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165,464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59,621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947,329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852,286</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warrants</w:t>
            </w:r>
          </w:p>
        </w:tc>
        <w:tc>
          <w:tcPr>
            <w:tcW w:w="2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11,477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9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70,629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(383,992)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(334,507)</w:t>
            </w: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17,043</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22,695</w:t>
            </w:r>
          </w:p>
        </w:tc>
      </w:tr>
      <w:tr>
        <w:trPr>
          <w:trHeight w:val="210"/>
        </w:trPr>
        <w:tc>
          <w:tcPr>
            <w:tcW w:w="5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9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662,486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607,995</w:t>
            </w:r>
          </w:p>
        </w:tc>
      </w:tr>
      <w:tr>
        <w:trPr>
          <w:trHeight w:val="230"/>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827,950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667,616</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tc>
        <w:tc>
          <w:tcPr>
            <w:tcW w:w="2680" w:type="dxa"/>
            <w:vAlign w:val="bottom"/>
          </w:tcPr>
          <w:p>
            <w:pPr>
              <w:spacing w:after="0"/>
              <w:rPr>
                <w:sz w:val="20"/>
                <w:szCs w:val="20"/>
                <w:color w:val="auto"/>
              </w:rPr>
            </w:pPr>
          </w:p>
        </w:tc>
      </w:tr>
      <w:tr>
        <w:trPr>
          <w:trHeight w:val="439"/>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August 11, 2025</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/s/ Brian Howlett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/s/ Ben Gagnon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Jeffrey Lucas</w:t>
            </w:r>
          </w:p>
        </w:tc>
      </w:tr>
      <w:tr>
        <w:trPr>
          <w:trHeight w:val="194"/>
        </w:trPr>
        <w:tc>
          <w:tcPr>
            <w:tcW w:w="28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Date of approval of the financial</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Chairman of the Board of</w:t>
            </w:r>
          </w:p>
        </w:tc>
        <w:tc>
          <w:tcPr>
            <w:tcW w:w="10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Chief Executive Officer &amp;</w:t>
            </w:r>
          </w:p>
        </w:tc>
        <w:tc>
          <w:tcPr>
            <w:tcW w:w="1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statements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2680" w:type="dxa"/>
            <w:vAlign w:val="bottom"/>
          </w:tcPr>
          <w:p>
            <w:pPr>
              <w:spacing w:after="0"/>
              <w:rPr>
                <w:sz w:val="20"/>
                <w:szCs w:val="20"/>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7"/>
        </w:trPr>
        <w:tc>
          <w:tcPr>
            <w:tcW w:w="107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927" w:right="339" w:bottom="852"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22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PROFIT OR LOSS AND COMPREHENSIVE PROFIT OR LOSS </w:t>
      </w:r>
      <w:r>
        <w:rPr>
          <w:rFonts w:ascii="Times New Roman" w:cs="Times New Roman" w:eastAsia="Times New Roman" w:hAnsi="Times New Roman"/>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4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46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8, 25, 26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41,548</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7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91,865</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(83,280)</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(52,823)</w:t>
            </w: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3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(113,822)</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(5,480)</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(11,275)</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(6,022)</w:t>
            </w:r>
          </w:p>
        </w:tc>
        <w:tc>
          <w:tcPr>
            <w:tcW w:w="132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(21,957)</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(21,423)</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(12,402)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(41,596)</w:t>
            </w: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(25,598)</w:t>
            </w:r>
          </w:p>
        </w:tc>
        <w:tc>
          <w:tcPr>
            <w:tcW w:w="0" w:type="dxa"/>
            <w:vAlign w:val="bottom"/>
          </w:tcPr>
          <w:p>
            <w:pPr>
              <w:spacing w:after="0"/>
              <w:rPr>
                <w:sz w:val="1"/>
                <w:szCs w:val="1"/>
                <w:color w:val="auto"/>
              </w:rPr>
            </w:pPr>
          </w:p>
        </w:tc>
      </w:tr>
      <w:tr>
        <w:trPr>
          <w:trHeight w:val="198"/>
        </w:trPr>
        <w:tc>
          <w:tcPr>
            <w:tcW w:w="4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 property, plant and equipment and</w:t>
            </w: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6, 13</w:t>
            </w:r>
          </w:p>
        </w:tc>
        <w:tc>
          <w:tcPr>
            <w:tcW w:w="1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1,897</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7,483</w:t>
            </w:r>
          </w:p>
        </w:tc>
        <w:tc>
          <w:tcPr>
            <w:tcW w:w="7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240" w:type="dxa"/>
            <w:vAlign w:val="bottom"/>
            <w:gridSpan w:val="2"/>
            <w:vMerge w:val="continue"/>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2"/>
            <w:vMerge w:val="continue"/>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(31,850)</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(39,626)</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(23,578)</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(71,985)</w:t>
            </w:r>
          </w:p>
        </w:tc>
        <w:tc>
          <w:tcPr>
            <w:tcW w:w="132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(47,286)</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13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2,143</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(1,317)</w:t>
            </w:r>
          </w:p>
        </w:tc>
        <w:tc>
          <w:tcPr>
            <w:tcW w:w="1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4,253</w:t>
            </w:r>
          </w:p>
        </w:tc>
        <w:tc>
          <w:tcPr>
            <w:tcW w:w="7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(37,483)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(24,895)</w:t>
            </w: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(67,732)</w:t>
            </w:r>
          </w:p>
        </w:tc>
        <w:tc>
          <w:tcPr>
            <w:tcW w:w="13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(37,160)</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w:t>
            </w:r>
          </w:p>
        </w:tc>
        <w:tc>
          <w:tcPr>
            <w:tcW w:w="13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8,639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(1,704)</w:t>
            </w: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3,013</w:t>
            </w: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4,581</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(28,844)</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(26,599)</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(64,719)</w:t>
            </w:r>
          </w:p>
        </w:tc>
        <w:tc>
          <w:tcPr>
            <w:tcW w:w="132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(32,579)</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w:t>
            </w:r>
          </w:p>
        </w:tc>
        <w:tc>
          <w:tcPr>
            <w:tcW w:w="13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23,003</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(5,455)</w:t>
            </w:r>
          </w:p>
        </w:tc>
        <w:tc>
          <w:tcPr>
            <w:tcW w:w="1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9,582</w:t>
            </w:r>
          </w:p>
        </w:tc>
        <w:tc>
          <w:tcPr>
            <w:tcW w:w="7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11,978</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(5,841)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(32,054)</w:t>
            </w: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(55,137)</w:t>
            </w:r>
          </w:p>
        </w:tc>
        <w:tc>
          <w:tcPr>
            <w:tcW w:w="13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(20,601)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(0.05)</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(0.12)</w:t>
            </w:r>
          </w:p>
        </w:tc>
        <w:tc>
          <w:tcPr>
            <w:tcW w:w="7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555,843,347</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401,238,798</w:t>
            </w:r>
          </w:p>
        </w:tc>
        <w:tc>
          <w:tcPr>
            <w:tcW w:w="1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528,157,206</w:t>
            </w:r>
          </w:p>
        </w:tc>
        <w:tc>
          <w:tcPr>
            <w:tcW w:w="132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369,991,664</w:t>
            </w:r>
          </w:p>
        </w:tc>
        <w:tc>
          <w:tcPr>
            <w:tcW w:w="0" w:type="dxa"/>
            <w:vAlign w:val="bottom"/>
          </w:tcPr>
          <w:p>
            <w:pPr>
              <w:spacing w:after="0"/>
              <w:rPr>
                <w:sz w:val="1"/>
                <w:szCs w:val="1"/>
                <w:color w:val="auto"/>
              </w:rPr>
            </w:pPr>
          </w:p>
        </w:tc>
      </w:tr>
      <w:tr>
        <w:trPr>
          <w:trHeight w:val="459"/>
        </w:trPr>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right w:val="single" w:sz="8" w:color="auto"/>
            </w:tcBorders>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60"/>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INTERIM CONSOLIDATED STATEMENTS OF CHANGES IN EQUITY </w:t>
      </w:r>
      <w:r>
        <w:rPr>
          <w:rFonts w:ascii="Times New Roman" w:cs="Times New Roman" w:eastAsia="Times New Roman" w:hAnsi="Times New Roman"/>
          <w:sz w:val="17"/>
          <w:szCs w:val="17"/>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3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479,332,885</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852,286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(334,507)</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22,695</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607,995</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(64,719)</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(64,719)</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 assets,</w:t>
            </w:r>
          </w:p>
        </w:tc>
        <w:tc>
          <w:tcPr>
            <w:tcW w:w="7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9,582</w:t>
            </w:r>
          </w:p>
        </w:tc>
        <w:tc>
          <w:tcPr>
            <w:tcW w:w="22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9,582</w:t>
            </w: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7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(64,719)</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9,582</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(55,137)</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 of</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to accumulated deficit, net of</w:t>
            </w:r>
          </w:p>
        </w:tc>
        <w:tc>
          <w:tcPr>
            <w:tcW w:w="780" w:type="dxa"/>
            <w:vAlign w:val="bottom"/>
          </w:tcPr>
          <w:p>
            <w:pPr>
              <w:spacing w:after="0"/>
              <w:rPr>
                <w:sz w:val="18"/>
                <w:szCs w:val="18"/>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15,234</w:t>
            </w: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7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replacement share-based payment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74,311,252</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89,864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89,864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equity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11,477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11,477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2,347,500</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21, 24</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13,900</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share awards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21, 24</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1,543,320</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(1,558)</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557,548,857</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947,329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70,629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(383,992)</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17,043</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662,486</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334,153,330</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535,009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(299,810)</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2,941</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294,762</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(32,579)</w:t>
            </w: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 assets,</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11,978</w:t>
            </w: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11,978</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(20,601)</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 of</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to accumulated deficit, net of</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11,764</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(11,764)</w:t>
            </w:r>
          </w:p>
        </w:tc>
        <w:tc>
          <w:tcPr>
            <w:tcW w:w="2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84,196,144</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173,564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125,000</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21, 24</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7,400,259</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23,079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425,874,733</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731,941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(320,625)</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3,155</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473,877</w:t>
            </w:r>
          </w:p>
        </w:tc>
        <w:tc>
          <w:tcPr>
            <w:tcW w:w="0" w:type="dxa"/>
            <w:vAlign w:val="bottom"/>
          </w:tcPr>
          <w:p>
            <w:pPr>
              <w:spacing w:after="0"/>
              <w:rPr>
                <w:sz w:val="1"/>
                <w:szCs w:val="1"/>
                <w:color w:val="auto"/>
              </w:rPr>
            </w:pPr>
          </w:p>
        </w:tc>
      </w:tr>
      <w:tr>
        <w:trPr>
          <w:trHeight w:val="459"/>
        </w:trPr>
        <w:tc>
          <w:tcPr>
            <w:tcW w:w="814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right w:val="single" w:sz="8" w:color="auto"/>
            </w:tcBorders>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(restated -</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Note 3e)</w:t>
            </w:r>
          </w:p>
        </w:tc>
        <w:tc>
          <w:tcPr>
            <w:tcW w:w="0" w:type="dxa"/>
            <w:vAlign w:val="bottom"/>
          </w:tcPr>
          <w:p>
            <w:pPr>
              <w:spacing w:after="0"/>
              <w:rPr>
                <w:sz w:val="1"/>
                <w:szCs w:val="1"/>
                <w:color w:val="auto"/>
              </w:rPr>
            </w:pPr>
          </w:p>
        </w:tc>
      </w:tr>
      <w:tr>
        <w:trPr>
          <w:trHeight w:val="42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(64,719)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non-cash items:</w:t>
            </w: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25, 27</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66,701</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87,554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31,850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(4,253)</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 earned and hosting revenue received in BTC</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(136,373)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(89,806)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24, 25</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8,052</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(3,013)</w:t>
            </w: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 credits earned</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(6,540)</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property, plant and equipment and deposits</w:t>
            </w:r>
          </w:p>
        </w:tc>
        <w:tc>
          <w:tcPr>
            <w:tcW w:w="1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(7,483)</w:t>
            </w: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 exchanged for services</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5,178</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received</w:t>
            </w:r>
          </w:p>
        </w:tc>
        <w:tc>
          <w:tcPr>
            <w:tcW w:w="120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873</w:t>
            </w:r>
          </w:p>
        </w:tc>
        <w:tc>
          <w:tcPr>
            <w:tcW w:w="5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paid</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(1,145)</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(237)</w:t>
            </w: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renewable energy credits</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4,070</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27</w:t>
            </w: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13,933</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(93,106)</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(55,391)</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137,734</w:t>
            </w:r>
          </w:p>
        </w:tc>
        <w:tc>
          <w:tcPr>
            <w:tcW w:w="5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83,326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and Intangible asset</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(62,063)</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(123,119)</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and assets held for sale</w:t>
            </w:r>
          </w:p>
        </w:tc>
        <w:tc>
          <w:tcPr>
            <w:tcW w:w="120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3,045</w:t>
            </w:r>
          </w:p>
        </w:tc>
        <w:tc>
          <w:tcPr>
            <w:tcW w:w="5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(9,628)</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10,048</w:t>
            </w:r>
          </w:p>
        </w:tc>
        <w:tc>
          <w:tcPr>
            <w:tcW w:w="5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6,471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derivative assets and liabilities</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(78,838)</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 of derivative assets and liabilities</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79,924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(4,771)</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business</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47,538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(48,084)</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Investment in Associate</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74,030</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(68,506)</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23,608</w:t>
            </w: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173,564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(209)</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transaction costs</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47,544</w:t>
            </w:r>
          </w:p>
        </w:tc>
        <w:tc>
          <w:tcPr>
            <w:tcW w:w="5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(1,010)</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21, 24</w:t>
            </w: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69,936</w:t>
            </w:r>
          </w:p>
        </w:tc>
        <w:tc>
          <w:tcPr>
            <w:tcW w:w="112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178,362</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50,860</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54,465</w:t>
            </w:r>
          </w:p>
        </w:tc>
        <w:tc>
          <w:tcPr>
            <w:tcW w:w="0" w:type="dxa"/>
            <w:vAlign w:val="bottom"/>
          </w:tcPr>
          <w:p>
            <w:pPr>
              <w:spacing w:after="0"/>
              <w:rPr>
                <w:sz w:val="1"/>
                <w:szCs w:val="1"/>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20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59,542</w:t>
            </w:r>
          </w:p>
        </w:tc>
        <w:tc>
          <w:tcPr>
            <w:tcW w:w="5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37</w:t>
            </w:r>
          </w:p>
        </w:tc>
        <w:tc>
          <w:tcPr>
            <w:tcW w:w="5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1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110,439</w:t>
            </w:r>
          </w:p>
        </w:tc>
        <w:tc>
          <w:tcPr>
            <w:tcW w:w="1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138,619</w:t>
            </w:r>
          </w:p>
        </w:tc>
        <w:tc>
          <w:tcPr>
            <w:tcW w:w="0" w:type="dxa"/>
            <w:vAlign w:val="bottom"/>
          </w:tcPr>
          <w:p>
            <w:pPr>
              <w:spacing w:after="0"/>
              <w:rPr>
                <w:sz w:val="1"/>
                <w:szCs w:val="1"/>
                <w:color w:val="auto"/>
              </w:rPr>
            </w:pPr>
          </w:p>
        </w:tc>
      </w:tr>
      <w:tr>
        <w:trPr>
          <w:trHeight w:val="459"/>
        </w:trPr>
        <w:tc>
          <w:tcPr>
            <w:tcW w:w="7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Borders>
              <w:right w:val="single" w:sz="8" w:color="auto"/>
            </w:tcBorders>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at 110 Yonge Street, Suite 1601, Toronto, Ontario, Canada, M5C 1T4.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 are comprised mainly of selling its computational power used for hashing calculations for the purpose of cryptocurrency mining in multiple jurisdictions as described in Note 26 “Geographical Information”. The Company’s operations are currently located in Canada, the United States, Paraguay, and Argentina. Volta, a wholly-owned subsidiary of the Company, assists the Company in building and maintaining its data centers and provides electrician services to both commercial and residential customers in Quebec, Canada.</w:t>
      </w:r>
    </w:p>
    <w:p>
      <w:pPr>
        <w:spacing w:after="0" w:line="180"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8"/>
          <w:szCs w:val="18"/>
          <w:color w:val="auto"/>
        </w:rPr>
        <w:t>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BTC (as defined below).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As described in Note 5, the Company acquired Stronghold Digital Mining, Inc. (“Stronghold”) on March 14, 2025 (the “Stronghold Transaction”). Through the acquisition of Stronghold, the Company now owns and operates two refuse power generation facilities. The Company’s primary fuel source at these facilities is waste which is provided by various third parties. Waste tax credits are earned by the Company by utilizing refuse to generate electricity. The Company either consumes the energy internally to support computational activities related to hashing calculations or sells the energy it produces to the local energy supplier (the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0520"/>
        <w:spacing w:after="0"/>
        <w:tabs>
          <w:tab w:leader="none" w:pos="1088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2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09"/>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Backbone</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Volta</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Backbone Argentina</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Backbone Paraguay</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Backbone Mining</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Backbone Yguazu</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Zunz SA</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BTC</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BVVE</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 and mining-related equipment)</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MW</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Megawatt</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CAD</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USD</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U.S. dollars</w:t>
            </w:r>
          </w:p>
        </w:tc>
      </w:tr>
      <w:tr>
        <w:trPr>
          <w:trHeight w:val="223"/>
        </w:trPr>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2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ARS</w:t>
            </w:r>
          </w:p>
        </w:tc>
        <w:tc>
          <w:tcPr>
            <w:tcW w:w="82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Bitcoin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can impact the recoverability of the Company’s digital assets and property, plant and equipment (“PPE”), resulting in impairment losses being recorded.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operating cash flows are negative as the proceeds from the BTC sold from its mining operations are classified within investing activities. The Company’s current operating budget and future estimated cash flows indicate that the Company will generate positive cash flow in excess of the Company’s cash commitments, which includes proceeds from the sale of digital assets, during the twelve-month period following the date these interim condensed consolidated financial statements were authorized for issuance (the “twelve-month period”). These analyses are based on BTC market factors including price, difficulty and network hashrate for the twelve-month period.</w:t>
      </w:r>
    </w:p>
    <w:p>
      <w:pPr>
        <w:spacing w:after="0" w:line="183"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sales of its BTC treasury and BTC earned are anticipated not to be sufficient to fund planned capital investments for high-performance computing data centers. If the proceeds from the sale of BTC are not sufficient, the Company would be required to raise additional funds from external sources to meet these requirements.</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On April 1, 2025, the Company secured a credit facility for up to $300,000 with Macquarie Equipment Capital, Inc. (“Macquarie”), of which $50,000 was drawn and outstanding as of June 30, 2025. Refer to Note 19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10520"/>
        <w:spacing w:after="0"/>
        <w:tabs>
          <w:tab w:leader="none" w:pos="1088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tab/>
        <w:t xml:space="preserve">LIQUIDITY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ownership in the Company may be diluted. If the Company is unable to obtain financing, including from the issuance of securities, or if funds from operations and proceeds from sales of the Company’s BTC holdings are negatively impacted by the BTC price, or if the Company is in breach of its covenants, the Company may have difficulty meeting its payment obligations.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BASIS OF PRESENTATION AND MATERIAL ACCOUNTING POLICY INFORMATION</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measurement</w:t>
      </w:r>
    </w:p>
    <w:p>
      <w:pPr>
        <w:spacing w:after="0" w:line="229"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(“Financial Statements”) of the Company comprise the accounts of Bitfarms Ltd. and its wholly-owned subsidiaries. These Financial Statements have been prepared in accordance with International Financial Reporting Standards as issued by the International Accounting Standards Board (“IFRS Accounting Standards”) applicable to the preparation of interim financial statements, including International Accounting Standard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These Financial Statements were approved by the Board of Directors (the “Board”) on August 11,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do not include all the information required for full annual financial statements and should be read in conjunction with the audited annual consolidated financial statements of the Company and the notes thereto for the year ended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on the historical cost basis, except for the revaluation of certain financial instruments and digital assets recorded at fair value, and assets held for sale measured at the lower of their carrying amount and fair value less costs to sell.</w:t>
      </w:r>
    </w:p>
    <w:p>
      <w:pPr>
        <w:spacing w:after="0" w:line="162"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These Financial Statements have been prepared under the same accounting policies used in the audited annual consolidated financial statements for the year ended December 31, 2024, except for the material new accounting policies added during the three and six months ended June 30, 2025, and the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76"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new accounting policy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cost of an acquisition is measured as the aggregate of the consideration transferred, which is measured at acquisition date at fair value, and the amount of any non-controlling interests in the acquiree. Acquisition-related costs are expensed as incurred and included in general and administrative expenses.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that it has acquired a business when the acquired set of activities and assets include an input and a substantive process that together significantly contribute to the ability to create outputs.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10520"/>
        <w:spacing w:after="0"/>
        <w:tabs>
          <w:tab w:leader="none" w:pos="1088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new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 costs related to financial liabilities at amortized cost are deducted from the carrying value of the financial liability. They are then recognized over the expected life of the instrument using the effective interest method. Transaction costs include fees and commissions paid to agents, advisers, brokers and dealers, levies by regulatory agencies and securities exchanges, and transfer taxes and duties. Transaction costs do not include debt premiums or discounts, financing costs, internal administrative costs or holding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and equity warrants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issues warrants which entitle the holder to buy the Company’s common shares at a predetermined exercise price within a certain time frame. The warrants may include a cashless exercise clause which would result in a variable number of shares being issued for a fixed price due to the unknown future price of the shares. The Company does not expect the warrants to be exercised on a cashless basis. Referred to as warrant liability, the Company records these warrants as a financial liability. Upon exercise, the Company records the exercised warrants at fair value immediately before settlement and records the gain or loss through the consolidated statements of profit or loss and comprehensive profit or loss. The Company subsequently measures the outstanding warrants at fair value at each reporting date and records the gain or loss through the consolidated statements of profit or loss and comprehensive profit or loss. Warrants issued which do not include a cashless exercise feature, referred to as equity warrants, are classified as equity instruments. Consideration received on the sale of a share and share purchase warrant is allocated using the fair value method.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Hosting Revenue</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entered hosting contracts where it operates mining equipment on behalf of third parties within its facilities. Revenue from hosting contracts is measured as the Company meets its obligation of operating the hosted equipment over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Revenue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as a market participant through the Pennsylvania, New Jersey, Maryland (“PJM”) Interconnection, a Regional Transmission Organization (“RTO”) that coordinates the movement of wholesale electricity. The Company sells energy from its Panther Creek and Scrubgrass generating plants in the open market in the PJM RTO in the real-time, location marginal pricing market. Revenues from the sale of energy are earned as the energy is delivered as a series of distinct units that are substantially the same and have the same pattern of transfer to the customer over time and are, therefore, accounted for as a distinct performance obligation. Revenue from the sale of energy is recognized over time as energy volumes are generated and delivered to the RTO (which is contemporaneous with generation), using the output method based on megawatt hours for measuring progress. The Company applies the “right to invoice” practical expedient in recognizing revenue from the sale of energy. Under this practical expedient, revenue from the sale of energy is recognized based on the invoiced amount which corresponds directly with the value provided to the customer for the Company’s performance obligation completed to date.</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Reactive energy power is provided to maintain a continuous voltage level. Revenue from reactive power is recognized ratably over time as the Company stands ready to provide it if called upon by the PJM 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10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new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depreciated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5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7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BVVE</w:t>
            </w:r>
          </w:p>
        </w:tc>
        <w:tc>
          <w:tcPr>
            <w:tcW w:w="358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Miners</w:t>
            </w:r>
          </w:p>
        </w:tc>
        <w:tc>
          <w:tcPr>
            <w:tcW w:w="3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Mining-related equipment</w:t>
            </w:r>
          </w:p>
        </w:tc>
        <w:tc>
          <w:tcPr>
            <w:tcW w:w="35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 years</w:t>
            </w:r>
          </w:p>
        </w:tc>
      </w:tr>
      <w:tr>
        <w:trPr>
          <w:trHeight w:val="198"/>
        </w:trPr>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shd w:val="clear" w:color="auto" w:fill="CCEEFF"/>
          </w:tcPr>
          <w:p>
            <w:pPr>
              <w:ind w:left="920"/>
              <w:spacing w:after="0" w:line="198" w:lineRule="exact"/>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line="198" w:lineRule="exact"/>
              <w:rPr>
                <w:sz w:val="20"/>
                <w:szCs w:val="20"/>
                <w:color w:val="auto"/>
              </w:rPr>
            </w:pPr>
            <w:r>
              <w:rPr>
                <w:rFonts w:ascii="Times New Roman" w:cs="Times New Roman" w:eastAsia="Times New Roman" w:hAnsi="Times New Roman"/>
                <w:sz w:val="18"/>
                <w:szCs w:val="18"/>
                <w:color w:val="auto"/>
              </w:rPr>
              <w:t>Shorter of the lease term and the expected life of</w:t>
            </w:r>
          </w:p>
        </w:tc>
      </w:tr>
      <w:tr>
        <w:trPr>
          <w:trHeight w:val="234"/>
        </w:trPr>
        <w:tc>
          <w:tcPr>
            <w:tcW w:w="296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the improvement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5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 to 20 years</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3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Over the lease term or 10 to 30 years</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35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Declining balance</w:t>
            </w:r>
          </w:p>
        </w:tc>
        <w:tc>
          <w:tcPr>
            <w:tcW w:w="4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Plants</w:t>
            </w:r>
          </w:p>
        </w:tc>
        <w:tc>
          <w:tcPr>
            <w:tcW w:w="3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Declining balance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35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Declining balance</w:t>
            </w:r>
          </w:p>
        </w:tc>
        <w:tc>
          <w:tcPr>
            <w:tcW w:w="47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(“ROU”) assets are depreciated over the shorter of the lease term and the estimated useful lives of the assets,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6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7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premises</w:t>
            </w:r>
          </w:p>
        </w:tc>
        <w:tc>
          <w:tcPr>
            <w:tcW w:w="36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4-10 years</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3-4 years</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other</w:t>
            </w:r>
          </w:p>
        </w:tc>
        <w:tc>
          <w:tcPr>
            <w:tcW w:w="36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3-5 years</w:t>
            </w:r>
          </w:p>
        </w:tc>
      </w:tr>
      <w:tr>
        <w:trPr>
          <w:trHeight w:val="223"/>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BVVE</w:t>
            </w:r>
          </w:p>
        </w:tc>
        <w:tc>
          <w:tcPr>
            <w:tcW w:w="3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Redemption Options and redemption obligation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redemption obligation is recorded for the remaining BTC Redemption Options for which Miners have been shipped, reflecting the Company’s obligation to either redeem the BTC Pledged for cash or use the BTC Pledged for the purchase of the Miners. The redemption obligation amount represents the value of Miners shipped, for which BTC payments were made, and reduced by the value of the BTC redeemed. Refer to Note 8 and 10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new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Energy Credits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uses refuse, which is classified as a Tier II Alternative Energy Source under Pennsylvania law, to produce energy to sell to the Grid. Renewable energy credits ("RECs") are generated from renewable sources (i.e., refuse) that can be sold or traded. The rights to RECs are regarded as intangible assets as per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Simultaneously, in accordance with IAS 20, </w:t>
      </w:r>
      <w:r>
        <w:rPr>
          <w:rFonts w:ascii="Times New Roman" w:cs="Times New Roman" w:eastAsia="Times New Roman" w:hAnsi="Times New Roman"/>
          <w:sz w:val="18"/>
          <w:szCs w:val="18"/>
          <w:i w:val="1"/>
          <w:iCs w:val="1"/>
          <w:color w:val="auto"/>
        </w:rPr>
        <w:t>Accounting for Government Grants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Assistance, </w:t>
      </w:r>
      <w:r>
        <w:rPr>
          <w:rFonts w:ascii="Times New Roman" w:cs="Times New Roman" w:eastAsia="Times New Roman" w:hAnsi="Times New Roman"/>
          <w:sz w:val="18"/>
          <w:szCs w:val="18"/>
          <w:color w:val="auto"/>
        </w:rPr>
        <w:t>a corresponding contra expense within cost of revenues is recorded to offset the fuel expenses (energy cost) incurred to produce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the government grants the RECs, a third party acts as the benefactor, on behalf of the Company, in the open market and is invoiced as RECs are sold. When these credits are sold, the corresponding asset for the rights to RECs are credited. Gain or loss on disposal are recorded in the statements of profit and loss and other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Associates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Associates are all entities over which the Company has significant influence but not control or joint control. Investments in associates are accounted for using the equity method of accounting. Under the equity method, the Company recognizes its share of profit and loss and other comprehensive income (loss) of the associates. Dividends received or receivable from associates are recognized as a reduction in the carrying amount of the investment.</w:t>
      </w:r>
    </w:p>
    <w:p>
      <w:pPr>
        <w:spacing w:after="0" w:line="18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following amendments to existing standards were adopted with no impact to the Company for its annual period beginning on January 1, 2025:</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21, </w:t>
      </w:r>
      <w:r>
        <w:rPr>
          <w:rFonts w:ascii="Times New Roman" w:cs="Times New Roman" w:eastAsia="Times New Roman" w:hAnsi="Times New Roman"/>
          <w:sz w:val="18"/>
          <w:szCs w:val="18"/>
          <w:b w:val="1"/>
          <w:bCs w:val="1"/>
          <w:i w:val="1"/>
          <w:iCs w:val="1"/>
          <w:color w:val="auto"/>
        </w:rPr>
        <w:t>The Effects of Changes in Foreign Exchange Rates</w:t>
      </w:r>
      <w:r>
        <w:rPr>
          <w:rFonts w:ascii="Times New Roman" w:cs="Times New Roman" w:eastAsia="Times New Roman" w:hAnsi="Times New Roman"/>
          <w:sz w:val="18"/>
          <w:szCs w:val="18"/>
          <w:b w:val="1"/>
          <w:bCs w:val="1"/>
          <w:color w:val="auto"/>
        </w:rPr>
        <w:t xml:space="preserve"> (“IAS 21”)</w:t>
      </w:r>
    </w:p>
    <w:p>
      <w:pPr>
        <w:spacing w:after="0" w:line="31"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Amendments to IAS 21 require an entity to apply a consistent approach in assessing whether a currency can be exchanged into another currency and, when it cannot, in determining the exchange rate to use and the disclosures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and standards issued to be adopted at a later date</w:t>
      </w:r>
    </w:p>
    <w:p>
      <w:pPr>
        <w:spacing w:after="0" w:line="227"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amendments to existing standards have been issued and are applicable to the Company for its annual period beginning on January 1, 2026,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9, </w:t>
      </w:r>
      <w:r>
        <w:rPr>
          <w:rFonts w:ascii="Times New Roman" w:cs="Times New Roman" w:eastAsia="Times New Roman" w:hAnsi="Times New Roman"/>
          <w:sz w:val="18"/>
          <w:szCs w:val="18"/>
          <w:b w:val="1"/>
          <w:bCs w:val="1"/>
          <w:i w:val="1"/>
          <w:iCs w:val="1"/>
          <w:color w:val="auto"/>
        </w:rPr>
        <w:t>Financial Instruments</w:t>
      </w:r>
      <w:r>
        <w:rPr>
          <w:rFonts w:ascii="Times New Roman" w:cs="Times New Roman" w:eastAsia="Times New Roman" w:hAnsi="Times New Roman"/>
          <w:sz w:val="18"/>
          <w:szCs w:val="18"/>
          <w:b w:val="1"/>
          <w:bCs w:val="1"/>
          <w:color w:val="auto"/>
        </w:rPr>
        <w:t xml:space="preserve"> (“IFRS 9”)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9 and IFRS 7 clarify that financial assets and financial liabilities are recognized and derecognized at settlement date except for regular way purchases or sales of financial assets and financial liabilities meeting conditions for the new exception. The new exception permits companies to elect to derecognize certain financial liabilities settled via electronic payment systems earlier than the settlement date.</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These amendments also provide guidelines to assess contractual cash flow characteristics of financial assets, which apply to all contingent cash flows, including those arising from environmental, social, and governance (ESG)-linked features.</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In addition, the amendments for investments in equity instruments reported at fair value through other comprehensive income require separately disclosing the fair value gain or loss for investments derecognized in the period and investments held. The amendments added disclosure requirements for financial instruments with contingent features that could change the timing or amount of contractual cash flows that do not relate directly to basic lending risks and costs.</w:t>
      </w:r>
    </w:p>
    <w:p>
      <w:pPr>
        <w:spacing w:after="0" w:line="180"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Furthermore, the amendments to IFRS 9 clarify: i) the requirements to account for an extinguishment of a lessee’s lease liability that results in a gain or loss recognized in net income; and ii) the definition of the term “transaction price”.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23"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new standard has been issued and is applicable to the Company for its annual period beginning on January 1, 2027,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r>
        <w:rPr>
          <w:rFonts w:ascii="Times New Roman" w:cs="Times New Roman" w:eastAsia="Times New Roman" w:hAnsi="Times New Roman"/>
          <w:sz w:val="18"/>
          <w:szCs w:val="18"/>
          <w:b w:val="1"/>
          <w:bCs w:val="1"/>
          <w:color w:val="auto"/>
        </w:rPr>
        <w:t xml:space="preserve"> (“IFRS 18”)</w:t>
      </w:r>
    </w:p>
    <w:p>
      <w:pPr>
        <w:spacing w:after="0" w:line="31" w:lineRule="exact"/>
        <w:rPr>
          <w:sz w:val="20"/>
          <w:szCs w:val="20"/>
          <w:color w:val="auto"/>
        </w:rPr>
      </w:pPr>
    </w:p>
    <w:p>
      <w:pPr>
        <w:jc w:val="both"/>
        <w:ind w:left="20" w:hanging="4"/>
        <w:spacing w:after="0" w:line="250" w:lineRule="auto"/>
        <w:rPr>
          <w:sz w:val="20"/>
          <w:szCs w:val="20"/>
          <w:color w:val="auto"/>
        </w:rPr>
      </w:pPr>
      <w:r>
        <w:rPr>
          <w:rFonts w:ascii="Times New Roman" w:cs="Times New Roman" w:eastAsia="Times New Roman" w:hAnsi="Times New Roman"/>
          <w:sz w:val="18"/>
          <w:szCs w:val="18"/>
          <w:color w:val="auto"/>
        </w:rPr>
        <w:t>On April 9, 2024, the International Accounting Standards Board issued IFRS 18, the new standard on presentation and disclosure in financial statements, which will replace IAS 1, with a focus on updates to the statement of profit or loss. The key new concepts introduced in IFRS 18 relate to:</w:t>
      </w:r>
    </w:p>
    <w:p>
      <w:pPr>
        <w:spacing w:after="0" w:line="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statement of profit or loss, including specified totals and subtotals;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disclosures in the financial statements for certain profit or loss performance measures that are reported outside an entity’s financial statements (i.e., Management-defined performance measures);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principles on aggregation and disaggregation which apply to the primary financial statements and notes in general.</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 of comparative figures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comparative figures of the statement of cash flows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2024, the Company changed the presentation of the statements of cash flows and determined that the proceeds from sale of digital assets, which are accounted for as an intangible asset under IAS 38, should be classified as investing activities rather than operating activities. The following table reflects the reclassification impact of the comparative six months ended June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interim consolidated statement of cash flows for the six months ended June 30, 2024</w:t>
      </w:r>
    </w:p>
    <w:p>
      <w:pPr>
        <w:spacing w:after="0" w:line="22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 (as reported)</w:t>
            </w:r>
          </w:p>
        </w:tc>
        <w:tc>
          <w:tcPr>
            <w:tcW w:w="2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Cash flow reclassification</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 (as restated)</w:t>
            </w:r>
          </w:p>
        </w:tc>
      </w:tr>
      <w:tr>
        <w:trPr>
          <w:trHeight w:val="42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w:t>
            </w:r>
          </w:p>
        </w:tc>
        <w:tc>
          <w:tcPr>
            <w:tcW w:w="2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(32,579)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9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83,326</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(83,326)</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27,935</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(83,326)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(55,391)</w:t>
            </w:r>
          </w:p>
        </w:tc>
      </w:tr>
      <w:tr>
        <w:trPr>
          <w:trHeight w:val="216"/>
        </w:trPr>
        <w:tc>
          <w:tcPr>
            <w:tcW w:w="49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83,326</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83,326</w:t>
            </w:r>
          </w:p>
        </w:tc>
      </w:tr>
      <w:tr>
        <w:trPr>
          <w:trHeight w:val="21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(151,832)</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83,326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(68,506)</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SIGNIFICANT ACCOUNTING JUDGMENTS AND ESTIMATES</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requires Bitfarms’ management team (“Management”) to undertake judgments, estimates and assumptions about recognition and measurement of assets, liabilities, income and expenses. These estimates and judgments are based on Management’s best knowledge of the relevant events and circumstances and actions the Company may take in the future. The actual results may differ from these assumptions and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2024, except for the following: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business combinations require judgements and estimates to be made at the date of acquisition in relation to determining the relative fair value of the allocation of the purchase consideration over the fair value of the assets. The information necessary to measure the fair values as at the acquisition date requires Management to make certain judgements and estimates about future events, including but not limited to forecasted revenues, operating costs and capital expenditures, future digital currency prices and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 xml:space="preserve">SIGNIFICANT ACCOUNTING JUDGMENTS AND ESTIMATES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Associates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existence of significant influence requires judgment to determine if the Company exercises significant influence over the entity’s operating and financing policies, or if unanimous consent is required for decisions relating to relevant activities even if the Company holds less than 20% of the voting rights. The existence of significant influence is usually evidenced in one or more of the following ways: representation on the board of directors or equivalent governing body of the investee; participation in policy-making processes, including participation in decisions about dividends or other distributions; material transactions between the entity and its investee; interchange of managerial personnel; or provision of essential technical information.</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14, 2025 (the “Acquisition Date”), the Company acquired 100% of the issued share capital of Stronghold in a stock-for-stock merger transaction. Under the terms of the merger agreement, each Stronghold shareholder received 2.52 shares of Bitfarms for each Stronghold share they owned. A total of 59,866,609 common shares and 12,893,650 warrants were issued. In addition, the Company paid $51,060 on closing to retire Stronghold’s outstanding loans and other closing costs.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the pre-existing hosting agreements between the Company and Stronghold were effectively settled. A gain of $945 was recognized on the settlement of the Refundable Hosting Deposits. Refer to Note 15 and Note 22 for more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 is a vertically integrated power generation and data center company focused on environmental remediation and reclamation services in Pennsylvania, United States. The Stronghold Transaction is aligned with the Company’s strategic objectives to diversify its operations and expand its presence in the United States through vertical integration of power generation and energy arbitrage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(Continued)</w:t>
            </w:r>
          </w:p>
        </w:tc>
        <w:tc>
          <w:tcPr>
            <w:tcW w:w="18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the purchase price allocation* and the fair value of the net assets acquired are as follows:</w:t>
            </w: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98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14,</w:t>
            </w:r>
          </w:p>
        </w:tc>
      </w:tr>
      <w:tr>
        <w:trPr>
          <w:trHeight w:val="209"/>
        </w:trPr>
        <w:tc>
          <w:tcPr>
            <w:tcW w:w="980" w:type="dxa"/>
            <w:vAlign w:val="bottom"/>
            <w:tcBorders>
              <w:bottom w:val="single" w:sz="8" w:color="auto"/>
            </w:tcBorders>
          </w:tcPr>
          <w:p>
            <w:pPr>
              <w:spacing w:after="0"/>
              <w:rPr>
                <w:sz w:val="18"/>
                <w:szCs w:val="18"/>
                <w:color w:val="auto"/>
              </w:rPr>
            </w:pPr>
          </w:p>
        </w:tc>
        <w:tc>
          <w:tcPr>
            <w:tcW w:w="7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through repayment of debts</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44,982</w:t>
            </w: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Reimbursement of Stronghold’s acquisition-related costs</w:t>
            </w:r>
          </w:p>
        </w:tc>
        <w:tc>
          <w:tcPr>
            <w:tcW w:w="18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6,078</w:t>
            </w: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shares issued**</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66,452</w:t>
            </w: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warrants issued</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11,477</w:t>
            </w: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replacement share-based payment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Settlement of Refundable Hosting Deposits</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15, 22</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15,474</w:t>
            </w:r>
          </w:p>
        </w:tc>
      </w:tr>
      <w:tr>
        <w:trPr>
          <w:trHeight w:val="209"/>
        </w:trPr>
        <w:tc>
          <w:tcPr>
            <w:tcW w:w="8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18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144,695</w:t>
            </w:r>
          </w:p>
        </w:tc>
      </w:tr>
      <w:tr>
        <w:trPr>
          <w:trHeight w:val="209"/>
        </w:trPr>
        <w:tc>
          <w:tcPr>
            <w:tcW w:w="9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8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1,835</w:t>
            </w: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(current)</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Rights to energy credits</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3,102</w:t>
            </w:r>
          </w:p>
        </w:tc>
      </w:tr>
      <w:tr>
        <w:trPr>
          <w:trHeight w:val="216"/>
        </w:trPr>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73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156,687</w:t>
            </w: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8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(22,304)</w:t>
            </w: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16"/>
        </w:trPr>
        <w:tc>
          <w:tcPr>
            <w:tcW w:w="8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17"/>
        </w:trPr>
        <w:tc>
          <w:tcPr>
            <w:tcW w:w="8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identifiable assets acquired</w:t>
            </w:r>
          </w:p>
        </w:tc>
        <w:tc>
          <w:tcPr>
            <w:tcW w:w="18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144,695</w:t>
            </w:r>
          </w:p>
        </w:tc>
      </w:tr>
    </w:tbl>
    <w:p>
      <w:pPr>
        <w:spacing w:after="0" w:line="196" w:lineRule="exact"/>
        <w:rPr>
          <w:sz w:val="20"/>
          <w:szCs w:val="20"/>
          <w:color w:val="auto"/>
        </w:rPr>
      </w:pPr>
    </w:p>
    <w:p>
      <w:pPr>
        <w:jc w:val="both"/>
        <w:ind w:left="20" w:hanging="12"/>
        <w:spacing w:after="0" w:line="255" w:lineRule="auto"/>
        <w:tabs>
          <w:tab w:leader="none" w:pos="1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purchase price allocation for the acquisition reflects fair value estimates which are subject to change within the measurement period. As of August 11, 2025, the Company has substantially determined the fair values of most net assets except for property, plant and equipment and accounts payable and accrued liabilities. The fair values of certain tangible assets remain preliminary and are subject to change as the Company continues to assess the condition and useful lives of the assets. Accounts payable and accrued liabilities remain subject to change pending final confirmation of completeness. Measurement period adjustments that the Company determines to be material will be applied retrospectively to the period of acquisition in the Company’s consolidated financial statements and, depending on the nature of the adjustments, other periods subsequent to the period of acquisition could also be affected. During the three months ended June 30, 2025, the Company recognized minor measurement period adjustments, which have been reflected retrospectively in the consolidated financial statements. See below for details of measurement period adjustments.</w:t>
      </w:r>
    </w:p>
    <w:p>
      <w:pPr>
        <w:spacing w:after="0" w:line="185" w:lineRule="exact"/>
        <w:rPr>
          <w:sz w:val="20"/>
          <w:szCs w:val="20"/>
          <w:color w:val="auto"/>
        </w:rPr>
      </w:pPr>
    </w:p>
    <w:p>
      <w:pPr>
        <w:ind w:left="20" w:right="20" w:hanging="12"/>
        <w:spacing w:after="0" w:line="284" w:lineRule="auto"/>
        <w:tabs>
          <w:tab w:leader="none" w:pos="247"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fair value of the 59,866,609 shares issued as part of the consideration paid for Stronghold was based on the published share price on March 14, 2025 of $1.11 per share. Issuance costs of $196, which were directly attributable to the issuance of the shares, were netted against the deemed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Total acquisition-related costs that were not directly attributable to the issuance of shares amounted to $7,081, of which $1,571 were incurred during the first quarter of 2025, and $5,510 were incurred during the year ended December 31, 2024. These amounts were included in general and administrative expenses in the consolidated statements of profit or loss and comprehensive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profit and loss contribution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financial information presents the contributed revenue and profit and loss of the Company as if the closing of the Transaction occurred as of January 1, 2025 (“Proforma”). The contributed revenue and profit and loss of Stronghold since the Acquisition Date (“Actual Contribution”) are presented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Proforma</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Contribution</w:t>
            </w: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3780" w:type="dxa"/>
            <w:vAlign w:val="bottom"/>
          </w:tcPr>
          <w:p>
            <w:pPr>
              <w:jc w:val="center"/>
              <w:ind w:left="2170"/>
              <w:spacing w:after="0" w:line="188" w:lineRule="exact"/>
              <w:rPr>
                <w:sz w:val="20"/>
                <w:szCs w:val="20"/>
                <w:color w:val="auto"/>
              </w:rPr>
            </w:pPr>
            <w:r>
              <w:rPr>
                <w:rFonts w:ascii="Times New Roman" w:cs="Times New Roman" w:eastAsia="Times New Roman" w:hAnsi="Times New Roman"/>
                <w:sz w:val="18"/>
                <w:szCs w:val="18"/>
                <w:b w:val="1"/>
                <w:bCs w:val="1"/>
                <w:color w:val="auto"/>
              </w:rPr>
              <w:t>From</w:t>
            </w:r>
          </w:p>
        </w:tc>
        <w:tc>
          <w:tcPr>
            <w:tcW w:w="126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From</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378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March 15</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378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to</w:t>
            </w: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378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154,805</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27,474</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(80,838)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(2,213)</w:t>
            </w:r>
          </w:p>
        </w:tc>
        <w:tc>
          <w:tcPr>
            <w:tcW w:w="0" w:type="dxa"/>
            <w:vAlign w:val="bottom"/>
          </w:tcPr>
          <w:p>
            <w:pPr>
              <w:spacing w:after="0"/>
              <w:rPr>
                <w:sz w:val="1"/>
                <w:szCs w:val="1"/>
                <w:color w:val="auto"/>
              </w:rPr>
            </w:pP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 - cash outflow</w:t>
            </w:r>
          </w:p>
        </w:tc>
        <w:tc>
          <w:tcPr>
            <w:tcW w:w="3780" w:type="dxa"/>
            <w:vAlign w:val="bottom"/>
          </w:tcPr>
          <w:p>
            <w:pPr>
              <w:spacing w:after="0"/>
              <w:rPr>
                <w:sz w:val="24"/>
                <w:szCs w:val="24"/>
                <w:color w:val="auto"/>
              </w:rPr>
            </w:pPr>
          </w:p>
        </w:tc>
        <w:tc>
          <w:tcPr>
            <w:tcW w:w="1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0" w:type="dxa"/>
            <w:vAlign w:val="bottom"/>
          </w:tcPr>
          <w:p>
            <w:pPr>
              <w:spacing w:after="0"/>
              <w:rPr>
                <w:sz w:val="1"/>
                <w:szCs w:val="1"/>
                <w:color w:val="auto"/>
              </w:rPr>
            </w:pPr>
          </w:p>
        </w:tc>
      </w:tr>
      <w:tr>
        <w:trPr>
          <w:trHeight w:val="194"/>
        </w:trPr>
        <w:tc>
          <w:tcPr>
            <w:tcW w:w="6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outflow, net of cash acquired</w:t>
            </w:r>
          </w:p>
        </w:tc>
        <w:tc>
          <w:tcPr>
            <w:tcW w:w="3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consideration</w:t>
            </w:r>
          </w:p>
        </w:tc>
        <w:tc>
          <w:tcPr>
            <w:tcW w:w="3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51,060</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Less: cash balances acquired</w:t>
            </w:r>
          </w:p>
        </w:tc>
        <w:tc>
          <w:tcPr>
            <w:tcW w:w="3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outflow related to investing activities</w:t>
            </w:r>
          </w:p>
        </w:tc>
        <w:tc>
          <w:tcPr>
            <w:tcW w:w="3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48,084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period adjustments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2025, the Company obtained new information about facts and circumstances that existed at the Acquisition Date, if known, would have been recognized as of the Acquisition Date. Therefore, increases in accrued liabilities and rights to energy credits of $1,500 and $3,102, respectively, were recorded with a corresponding net decrease of $1,602 in property, plant and equipment, which is reflected in the purchase price allocation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SALE OF THE YGUAZU MINING SITE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2025, the Company completed the sale of its development 200 MW site in Yguazu, Paraguay to HIVE Digital Technologies Ltd. (“HIVE”) pursuant to a binding letter of Intent (“LOI”) originally signed on January 24, 2025. The transaction involved the sale of the Company’s 100% ownership stake in the Yguazu, Paraguay Bitcoin data center. The total consideration of $63,260 and the transaction details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March 17</w:t>
            </w:r>
          </w:p>
        </w:tc>
      </w:tr>
      <w:tr>
        <w:trPr>
          <w:trHeight w:val="210"/>
        </w:trPr>
        <w:tc>
          <w:tcPr>
            <w:tcW w:w="7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5"/>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received in January 2025 upon signing the LOI</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upon closing</w:t>
            </w:r>
          </w:p>
        </w:tc>
        <w:tc>
          <w:tcPr>
            <w:tcW w:w="25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12,038</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over 6 equal monthly payments following the closing date*</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r>
      <w:tr>
        <w:trPr>
          <w:trHeight w:val="216"/>
        </w:trPr>
        <w:tc>
          <w:tcPr>
            <w:tcW w:w="7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costs assumed by HIVE</w:t>
            </w: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09"/>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63,260</w:t>
            </w:r>
          </w:p>
        </w:tc>
      </w:tr>
      <w:tr>
        <w:trPr>
          <w:trHeight w:val="210"/>
        </w:trPr>
        <w:tc>
          <w:tcPr>
            <w:tcW w:w="7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transferred</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5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34,006</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w:t>
            </w:r>
          </w:p>
        </w:tc>
        <w:tc>
          <w:tcPr>
            <w:tcW w:w="25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w:t>
            </w:r>
          </w:p>
        </w:tc>
        <w:tc>
          <w:tcPr>
            <w:tcW w:w="2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18,321</w:t>
            </w:r>
          </w:p>
        </w:tc>
      </w:tr>
      <w:tr>
        <w:trPr>
          <w:trHeight w:val="216"/>
        </w:trPr>
        <w:tc>
          <w:tcPr>
            <w:tcW w:w="7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Security deposit for energy</w:t>
            </w:r>
          </w:p>
        </w:tc>
        <w:tc>
          <w:tcPr>
            <w:tcW w:w="2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2,809</w:t>
            </w:r>
          </w:p>
        </w:tc>
      </w:tr>
      <w:tr>
        <w:trPr>
          <w:trHeight w:val="209"/>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transferred</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58,035</w:t>
            </w:r>
          </w:p>
        </w:tc>
      </w:tr>
      <w:tr>
        <w:trPr>
          <w:trHeight w:val="210"/>
        </w:trPr>
        <w:tc>
          <w:tcPr>
            <w:tcW w:w="7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3"/>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25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5,225</w:t>
            </w:r>
          </w:p>
        </w:tc>
      </w:tr>
    </w:tbl>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The Company had a remaining net receivable from the disposal of Yguazu Mining site of $15,087 as of June 30, 2025. The receivable is interest-free.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RIGHTS TO ENERGY CREDITS</w:t>
            </w: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0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10"/>
        </w:trPr>
        <w:tc>
          <w:tcPr>
            <w:tcW w:w="70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70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six-month</w:t>
            </w:r>
          </w:p>
        </w:tc>
      </w:tr>
      <w:tr>
        <w:trPr>
          <w:trHeight w:val="234"/>
        </w:trPr>
        <w:tc>
          <w:tcPr>
            <w:tcW w:w="7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period</w:t>
            </w: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Addition related to business combination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3,102</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during the period: rights to renewable energy credits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6,540</w:t>
            </w:r>
          </w:p>
        </w:tc>
      </w:tr>
      <w:tr>
        <w:trPr>
          <w:trHeight w:val="216"/>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disposal of renewable energy credits to third parties</w:t>
            </w:r>
          </w:p>
        </w:tc>
        <w:tc>
          <w:tcPr>
            <w:tcW w:w="2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(4,070)</w:t>
            </w:r>
          </w:p>
        </w:tc>
      </w:tr>
      <w:tr>
        <w:trPr>
          <w:trHeight w:val="217"/>
        </w:trPr>
        <w:tc>
          <w:tcPr>
            <w:tcW w:w="7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2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5,572</w:t>
            </w: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7"/>
        </w:trPr>
        <w:tc>
          <w:tcPr>
            <w:tcW w:w="107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BTC transactions and the corresponding values for the three and six months ended June 30, 2025 and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r>
      <w:tr>
        <w:trPr>
          <w:trHeight w:val="209"/>
        </w:trPr>
        <w:tc>
          <w:tcPr>
            <w:tcW w:w="5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Quantity</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Value</w:t>
            </w:r>
          </w:p>
        </w:tc>
        <w:tc>
          <w:tcPr>
            <w:tcW w:w="20" w:type="dxa"/>
            <w:vAlign w:val="bottom"/>
          </w:tcPr>
          <w:p>
            <w:pPr>
              <w:spacing w:after="0"/>
              <w:rPr>
                <w:sz w:val="18"/>
                <w:szCs w:val="18"/>
                <w:color w:val="auto"/>
              </w:rPr>
            </w:pPr>
          </w:p>
        </w:tc>
      </w:tr>
      <w:tr>
        <w:trPr>
          <w:trHeight w:val="210"/>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digital assets including restricted digital assets as of April 1,</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1,492</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123,232</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806</w:t>
            </w: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57,542</w:t>
            </w:r>
          </w:p>
        </w:tc>
        <w:tc>
          <w:tcPr>
            <w:tcW w:w="20" w:type="dxa"/>
            <w:vAlign w:val="bottom"/>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718</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70,330</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614</w:t>
            </w:r>
          </w:p>
        </w:tc>
        <w:tc>
          <w:tcPr>
            <w:tcW w:w="4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40,383</w:t>
            </w:r>
          </w:p>
        </w:tc>
        <w:tc>
          <w:tcPr>
            <w:tcW w:w="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revenue received in BTC</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w:t>
            </w:r>
          </w:p>
        </w:tc>
        <w:tc>
          <w:tcPr>
            <w:tcW w:w="1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1,397</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BTC received in advance for goods</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181</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BTC earned, not received</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(42)</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cash</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(1,052)</w:t>
            </w: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(100,471)</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(33,756)</w:t>
            </w:r>
          </w:p>
        </w:tc>
        <w:tc>
          <w:tcPr>
            <w:tcW w:w="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16,005</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5,803</w:t>
            </w:r>
          </w:p>
        </w:tc>
        <w:tc>
          <w:tcPr>
            <w:tcW w:w="20" w:type="dxa"/>
            <w:vAlign w:val="bottom"/>
          </w:tcPr>
          <w:p>
            <w:pPr>
              <w:spacing w:after="0"/>
              <w:rPr>
                <w:sz w:val="18"/>
                <w:szCs w:val="18"/>
                <w:color w:val="auto"/>
              </w:rPr>
            </w:pPr>
          </w:p>
        </w:tc>
      </w:tr>
      <w:tr>
        <w:trPr>
          <w:trHeight w:val="216"/>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15,319</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20" w:type="dxa"/>
            <w:vAlign w:val="bottom"/>
          </w:tcPr>
          <w:p>
            <w:pPr>
              <w:spacing w:after="0"/>
              <w:rPr>
                <w:sz w:val="18"/>
                <w:szCs w:val="18"/>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including restricted digital assets as of June 30,</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1,176</w:t>
            </w:r>
          </w:p>
        </w:tc>
        <w:tc>
          <w:tcPr>
            <w:tcW w:w="1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125,951</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905</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56,748</w:t>
            </w:r>
          </w:p>
        </w:tc>
        <w:tc>
          <w:tcPr>
            <w:tcW w:w="20" w:type="dxa"/>
            <w:vAlign w:val="bottom"/>
          </w:tcPr>
          <w:p>
            <w:pPr>
              <w:spacing w:after="0"/>
              <w:rPr>
                <w:sz w:val="18"/>
                <w:szCs w:val="18"/>
                <w:color w:val="auto"/>
              </w:rPr>
            </w:pPr>
          </w:p>
        </w:tc>
      </w:tr>
      <w:tr>
        <w:trPr>
          <w:trHeight w:val="216"/>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restricted digital assets as of June 30, ***</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(625)</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(66,922)</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excluding restricted digital assets as of June 30,</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551</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59,029</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905</w:t>
            </w: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56,748</w:t>
            </w:r>
          </w:p>
        </w:tc>
        <w:tc>
          <w:tcPr>
            <w:tcW w:w="20" w:type="dxa"/>
            <w:vAlign w:val="bottom"/>
          </w:tcPr>
          <w:p>
            <w:pPr>
              <w:spacing w:after="0"/>
              <w:rPr>
                <w:sz w:val="18"/>
                <w:szCs w:val="18"/>
                <w:color w:val="auto"/>
              </w:rPr>
            </w:pPr>
          </w:p>
        </w:tc>
      </w:tr>
      <w:tr>
        <w:trPr>
          <w:trHeight w:val="466"/>
        </w:trPr>
        <w:tc>
          <w:tcPr>
            <w:tcW w:w="5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right w:val="single" w:sz="8" w:color="auto"/>
            </w:tcBorders>
          </w:tcPr>
          <w:p>
            <w:pPr>
              <w:spacing w:after="0"/>
              <w:rPr>
                <w:sz w:val="21"/>
                <w:szCs w:val="21"/>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7"/>
        </w:trPr>
        <w:tc>
          <w:tcPr>
            <w:tcW w:w="5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 xml:space="preserve">DIGITAL ASSETS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Borders>
              <w:bottom w:val="single" w:sz="8" w:color="auto"/>
            </w:tcBorders>
          </w:tcPr>
          <w:p>
            <w:pPr>
              <w:spacing w:after="0"/>
              <w:rPr>
                <w:sz w:val="20"/>
                <w:szCs w:val="20"/>
                <w:color w:val="auto"/>
              </w:rPr>
            </w:pPr>
          </w:p>
        </w:tc>
      </w:tr>
      <w:tr>
        <w:trPr>
          <w:trHeight w:val="209"/>
        </w:trPr>
        <w:tc>
          <w:tcPr>
            <w:tcW w:w="5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Quantity</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digital assets including restricted digital assets as of January 1,</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1,285</w:t>
            </w:r>
          </w:p>
        </w:tc>
        <w:tc>
          <w:tcPr>
            <w:tcW w:w="1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120,124</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804</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33,971</w:t>
            </w: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1,411</w:t>
            </w: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134,405</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1,557</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89,806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revenue received in BTC</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w:t>
            </w:r>
          </w:p>
        </w:tc>
        <w:tc>
          <w:tcPr>
            <w:tcW w:w="1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1,968</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BTC received in advance for goods</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w:t>
            </w: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181</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earned, not received</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(854)</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cash</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(1,480)</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(137,734)</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(1,456)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services</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(5,178)</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20,753</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16,866</w:t>
            </w:r>
          </w:p>
        </w:tc>
      </w:tr>
      <w:tr>
        <w:trPr>
          <w:trHeight w:val="216"/>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loss on revaluation of digital assets**</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(7,714)</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including restricted digital assets as of June 30,</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1,176</w:t>
            </w: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125,951</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905</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56,748</w:t>
            </w:r>
          </w:p>
        </w:tc>
      </w:tr>
      <w:tr>
        <w:trPr>
          <w:trHeight w:val="216"/>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restricted digital assets as of June 30,***</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(625)</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(66,922)</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excluding restricted digital assets as of June 30,</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551</w:t>
            </w: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59,029</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905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56,748</w:t>
            </w:r>
          </w:p>
        </w:tc>
      </w:tr>
    </w:tbl>
    <w:p>
      <w:pPr>
        <w:spacing w:after="0" w:line="196" w:lineRule="exact"/>
        <w:rPr>
          <w:sz w:val="20"/>
          <w:szCs w:val="20"/>
          <w:color w:val="auto"/>
        </w:rPr>
      </w:pPr>
    </w:p>
    <w:p>
      <w:pPr>
        <w:jc w:val="both"/>
        <w:ind w:firstLine="8"/>
        <w:spacing w:after="0" w:line="267" w:lineRule="auto"/>
        <w:tabs>
          <w:tab w:leader="none" w:pos="1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estimates the fair value of BTC earned on a daily basis as the quantity of cryptocurrency received multiplied by the price quoted on Coinbase Prime on the day it was received. Management considers the prices quoted on Coinbase Prime to be a level 1 input under IFRS 13, Fair Value Measurement.</w:t>
      </w:r>
    </w:p>
    <w:p>
      <w:pPr>
        <w:spacing w:after="0" w:line="173" w:lineRule="exact"/>
        <w:rPr>
          <w:sz w:val="20"/>
          <w:szCs w:val="20"/>
          <w:color w:val="auto"/>
        </w:rPr>
      </w:pPr>
    </w:p>
    <w:p>
      <w:pPr>
        <w:jc w:val="both"/>
        <w:ind w:left="20" w:hanging="12"/>
        <w:spacing w:after="0" w:line="258" w:lineRule="auto"/>
        <w:tabs>
          <w:tab w:leader="none" w:pos="249"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portion of the realized gain on disposition of digital assets and the change in unrealized gain (loss) on revaluation of digital assets is presented in other comprehensive income after reversing previously recorded revaluation loss on digital assets in the statement of profit or loss. For the three and six months ended June 30, 2025, a gain of $23,003, net of $8,321 of deferred income tax expense, and a gain of $9,582, net of $3,457 deferred income tax expense, respectively, were presented in other comprehensive income (three and six months ended June 30, 2024: a loss of $5,455, net of $1,966 of deferred income tax recovery, and a gain of $11,978, net of $4,319 of deferred income tax expense, respectively).</w:t>
      </w:r>
    </w:p>
    <w:p>
      <w:pPr>
        <w:spacing w:after="0" w:line="183" w:lineRule="exact"/>
        <w:rPr>
          <w:rFonts w:ascii="Times New Roman" w:cs="Times New Roman" w:eastAsia="Times New Roman" w:hAnsi="Times New Roman"/>
          <w:sz w:val="18"/>
          <w:szCs w:val="18"/>
          <w:i w:val="1"/>
          <w:iCs w:val="1"/>
          <w:color w:val="auto"/>
        </w:rPr>
      </w:pPr>
    </w:p>
    <w:p>
      <w:pPr>
        <w:jc w:val="both"/>
        <w:ind w:left="20" w:hanging="12"/>
        <w:spacing w:after="0" w:line="261" w:lineRule="auto"/>
        <w:tabs>
          <w:tab w:leader="none" w:pos="341"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Restricted digital assets comprise i) 198 BTC for the BTC payment (“BTC Pledged”) to a third party as deposits of Miners presented as restricted digital assets. As the Company has the right to redeem the BTC Pledged, the ability of the third party to control the asset is limited, and the BTC Pledged does not meet the definition of a sale. Refer to Note 10, 14 and 22 for more details; and ii) 427 BTC held by a financial institution in connection with BTC selling contracts. Refer to Note 10 for more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Redemption Options and redemption obligations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redemption obligation was recorded for the remaining BTC Redemption Options (see description in Note 10) for which Miners have been shipped, reflecting the Company’s obligation to either redeem the BTC Pledged for cash or use the BTC Pledged for the purchase of the Miners. As of June 30, 2025, the redemption obligation amounted to $18,396, which represented the value of Miners delivered, for which BTC payments were made, and reduced by the value of the BTC redeemed. Subsequently, in July 2025, the Company exercised the third BTC Installment of the November 2024 Order and redeemed 87 BTC for $8,308.</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redemption obligation was recorded as of December 31, 2024, as the Miners ordered, for which the deposit payment in BTC was made, had not yet been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INVENTORIES</w:t>
            </w:r>
          </w:p>
        </w:tc>
        <w:tc>
          <w:tcPr>
            <w:tcW w:w="3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6000" w:type="dxa"/>
            <w:vAlign w:val="bottom"/>
          </w:tcPr>
          <w:p>
            <w:pPr>
              <w:spacing w:after="0"/>
              <w:rPr>
                <w:sz w:val="24"/>
                <w:szCs w:val="24"/>
                <w:color w:val="auto"/>
              </w:rPr>
            </w:pPr>
          </w:p>
        </w:tc>
        <w:tc>
          <w:tcPr>
            <w:tcW w:w="3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0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60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limestone and fuel oil*</w:t>
            </w:r>
          </w:p>
        </w:tc>
        <w:tc>
          <w:tcPr>
            <w:tcW w:w="3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4,420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Electronic and networking components</w:t>
            </w:r>
          </w:p>
        </w:tc>
        <w:tc>
          <w:tcPr>
            <w:tcW w:w="3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2,692</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17"/>
        </w:trPr>
        <w:tc>
          <w:tcPr>
            <w:tcW w:w="6000" w:type="dxa"/>
            <w:vAlign w:val="bottom"/>
            <w:tcBorders>
              <w:bottom w:val="single" w:sz="8" w:color="auto"/>
            </w:tcBorders>
            <w:shd w:val="clear" w:color="auto" w:fill="CCEEFF"/>
          </w:tcPr>
          <w:p>
            <w:pPr>
              <w:spacing w:after="0"/>
              <w:rPr>
                <w:sz w:val="18"/>
                <w:szCs w:val="18"/>
                <w:color w:val="auto"/>
              </w:rPr>
            </w:pPr>
          </w:p>
        </w:tc>
        <w:tc>
          <w:tcPr>
            <w:tcW w:w="3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7,112</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On the Acquisition Date, additions from the Stronghold business combination amounted to $3,269 for inventories. Refer to Note 5 for more details.</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and selling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that gave it the right, but not the obligation, to sell digital assets at a fixed price. Option contracts are used to reduce the risk of BTC price volatility and reduce the variability of cash flows generated from future sales of digital assets. The Company also entered into contracts and earned premiums by agreeing to sell BTC if the BTC price reached specific targets. The Company does not apply hedge accounting to these option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Redemption Options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Starting in November 2024, the Company entered into purchase orders of Miners with a supplier (“November 2024 Order”) which allows the Company to pay for the Miners in cash, BTC or a combination of both. In the event that the Company elects to pay using BTC (BTC Pledged, as defined in Note 8) either full or partial, the Company has the option to redeem the BTC Pledged at the price originally pledged in four quarterly installments (“BTC Installments”) within 12 months after the redemption period starts. The redemption period starts when the Miners are shipped. If the Company elects not to redeem one of the BTC Installments, the Company forfeits the right to redeem the remaining BTC Installments. The right to redeem the BTC (“BTC Redemption Option”) meets the definition of an embedded derivative.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Company paid for the Miners ordered using 351 BTC valued at $33,230 (i.e., 351 BTC Pledged). On initial recognition, the Company recorded a derivative asset of $1,349 with a corresponding reduction in long-term deposits and equipment prepayments as the Miners were not yet shipped. During the six months ended June 30, 2025, the Company exercised its option to redeem the first and second installments of the BTC pledged and redeemed an aggregate 175 BTC for $16,615. Subsequently, in July 2025, the Company exercised the third BTC Installment of the November 2024 Order. Refer to Note 29 for more details.</w:t>
      </w:r>
    </w:p>
    <w:p>
      <w:pPr>
        <w:spacing w:after="0" w:line="183"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In March 2025, an exchange agreement (“March 2025 Swap Order”) was entered into to exchange Miners for which the Company paid $2,374 in BTC which can be redeemed on a quarterly basis (i.e., 29 BTC Pledged). Refer to Note 14 for more details on the March 2025 Swap Order. On initial recognition, the Company recorded a derivative asset of $393 with a corresponding reduction in long-term deposits and equipment prepayments as the Miners had not yet been shipped. During the three and six months ended June 30, 2025, the Company exercised its option to redeem the first installment of the BTC Pledged and redeemed 7 BTC for $593.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DERIVATIVE ASSETS AND LIABILITIES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BTC Redemption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09"/>
        </w:trPr>
        <w:tc>
          <w:tcPr>
            <w:tcW w:w="488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7"/>
        </w:trPr>
        <w:tc>
          <w:tcPr>
            <w:tcW w:w="4880" w:type="dxa"/>
            <w:vAlign w:val="bottom"/>
          </w:tcPr>
          <w:p>
            <w:pPr>
              <w:spacing w:after="0"/>
              <w:rPr>
                <w:sz w:val="16"/>
                <w:szCs w:val="16"/>
                <w:color w:val="auto"/>
              </w:rPr>
            </w:pPr>
          </w:p>
        </w:tc>
        <w:tc>
          <w:tcPr>
            <w:tcW w:w="438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Quantity of</w:t>
            </w:r>
          </w:p>
        </w:tc>
        <w:tc>
          <w:tcPr>
            <w:tcW w:w="1980" w:type="dxa"/>
            <w:vAlign w:val="bottom"/>
          </w:tcPr>
          <w:p>
            <w:pPr>
              <w:spacing w:after="0"/>
              <w:rPr>
                <w:sz w:val="16"/>
                <w:szCs w:val="16"/>
                <w:color w:val="auto"/>
              </w:rPr>
            </w:pPr>
          </w:p>
        </w:tc>
      </w:tr>
      <w:tr>
        <w:trPr>
          <w:trHeight w:val="238"/>
        </w:trPr>
        <w:tc>
          <w:tcPr>
            <w:tcW w:w="488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restricted BTC</w:t>
            </w: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Redemption Obligation</w:t>
            </w:r>
          </w:p>
        </w:tc>
      </w:tr>
      <w:tr>
        <w:trPr>
          <w:trHeight w:val="209"/>
        </w:trPr>
        <w:tc>
          <w:tcPr>
            <w:tcW w:w="4880" w:type="dxa"/>
            <w:vAlign w:val="bottom"/>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color w:val="auto"/>
                <w:w w:val="99"/>
              </w:rPr>
              <w:t>November 2024 Order</w:t>
            </w:r>
          </w:p>
        </w:tc>
        <w:tc>
          <w:tcPr>
            <w:tcW w:w="4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33,230</w:t>
            </w:r>
          </w:p>
        </w:tc>
      </w:tr>
      <w:tr>
        <w:trPr>
          <w:trHeight w:val="216"/>
        </w:trPr>
        <w:tc>
          <w:tcPr>
            <w:tcW w:w="4880" w:type="dxa"/>
            <w:vAlign w:val="bottom"/>
          </w:tcPr>
          <w:p>
            <w:pPr>
              <w:jc w:val="right"/>
              <w:ind w:right="3150"/>
              <w:spacing w:after="0"/>
              <w:rPr>
                <w:sz w:val="20"/>
                <w:szCs w:val="20"/>
                <w:color w:val="auto"/>
              </w:rPr>
            </w:pPr>
            <w:r>
              <w:rPr>
                <w:rFonts w:ascii="Times New Roman" w:cs="Times New Roman" w:eastAsia="Times New Roman" w:hAnsi="Times New Roman"/>
                <w:sz w:val="18"/>
                <w:szCs w:val="18"/>
                <w:color w:val="auto"/>
              </w:rPr>
              <w:t>Redemption of BTC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(16,615)</w:t>
            </w:r>
          </w:p>
        </w:tc>
      </w:tr>
      <w:tr>
        <w:trPr>
          <w:trHeight w:val="216"/>
        </w:trPr>
        <w:tc>
          <w:tcPr>
            <w:tcW w:w="4880" w:type="dxa"/>
            <w:vAlign w:val="bottom"/>
            <w:shd w:val="clear" w:color="auto" w:fill="CCEEFF"/>
          </w:tcPr>
          <w:p>
            <w:pPr>
              <w:jc w:val="right"/>
              <w:ind w:right="2990"/>
              <w:spacing w:after="0"/>
              <w:rPr>
                <w:sz w:val="20"/>
                <w:szCs w:val="20"/>
                <w:color w:val="auto"/>
              </w:rPr>
            </w:pPr>
            <w:r>
              <w:rPr>
                <w:rFonts w:ascii="Times New Roman" w:cs="Times New Roman" w:eastAsia="Times New Roman" w:hAnsi="Times New Roman"/>
                <w:sz w:val="18"/>
                <w:szCs w:val="18"/>
                <w:color w:val="auto"/>
                <w:w w:val="99"/>
              </w:rPr>
              <w:t>March 2025 Swap Order</w:t>
            </w:r>
          </w:p>
        </w:tc>
        <w:tc>
          <w:tcPr>
            <w:tcW w:w="4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2,374</w:t>
            </w:r>
          </w:p>
        </w:tc>
      </w:tr>
      <w:tr>
        <w:trPr>
          <w:trHeight w:val="216"/>
        </w:trPr>
        <w:tc>
          <w:tcPr>
            <w:tcW w:w="4880" w:type="dxa"/>
            <w:vAlign w:val="bottom"/>
            <w:tcBorders>
              <w:bottom w:val="single" w:sz="8" w:color="auto"/>
            </w:tcBorders>
          </w:tcPr>
          <w:p>
            <w:pPr>
              <w:jc w:val="right"/>
              <w:ind w:right="3150"/>
              <w:spacing w:after="0"/>
              <w:rPr>
                <w:sz w:val="20"/>
                <w:szCs w:val="20"/>
                <w:color w:val="auto"/>
              </w:rPr>
            </w:pPr>
            <w:r>
              <w:rPr>
                <w:rFonts w:ascii="Times New Roman" w:cs="Times New Roman" w:eastAsia="Times New Roman" w:hAnsi="Times New Roman"/>
                <w:sz w:val="18"/>
                <w:szCs w:val="18"/>
                <w:color w:val="auto"/>
              </w:rPr>
              <w:t>Redemption of BTC</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r>
      <w:tr>
        <w:trPr>
          <w:trHeight w:val="217"/>
        </w:trPr>
        <w:tc>
          <w:tcPr>
            <w:tcW w:w="4880" w:type="dxa"/>
            <w:vAlign w:val="bottom"/>
            <w:tcBorders>
              <w:bottom w:val="single" w:sz="8" w:color="auto"/>
            </w:tcBorders>
            <w:shd w:val="clear" w:color="auto" w:fill="CCEEFF"/>
          </w:tcPr>
          <w:p>
            <w:pPr>
              <w:spacing w:after="0"/>
              <w:rPr>
                <w:sz w:val="18"/>
                <w:szCs w:val="18"/>
                <w:color w:val="auto"/>
              </w:rPr>
            </w:pPr>
          </w:p>
        </w:tc>
        <w:tc>
          <w:tcPr>
            <w:tcW w:w="4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198</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18,396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Note 14, Note 22 and Note 29 for more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assets of private company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acquired warrants of a privately held Canadian company (“PHCC”) to purchase preferred shares. Refer to Note 16 for more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derivatives and reconciles the fair value measurement (Level 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c>
          <w:tcPr>
            <w:tcW w:w="1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Warrants of</w:t>
            </w: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BTC</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color w:val="auto"/>
                <w:w w:val="96"/>
              </w:rPr>
              <w:t>BTC</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BTC option and selling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BTC option and selling</w:t>
            </w:r>
          </w:p>
        </w:tc>
        <w:tc>
          <w:tcPr>
            <w:tcW w:w="0" w:type="dxa"/>
            <w:vAlign w:val="bottom"/>
          </w:tcPr>
          <w:p>
            <w:pPr>
              <w:spacing w:after="0"/>
              <w:rPr>
                <w:sz w:val="1"/>
                <w:szCs w:val="1"/>
                <w:color w:val="auto"/>
              </w:rPr>
            </w:pPr>
          </w:p>
        </w:tc>
      </w:tr>
      <w:tr>
        <w:trPr>
          <w:trHeight w:val="238"/>
        </w:trPr>
        <w:tc>
          <w:tcPr>
            <w:tcW w:w="3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company</w:t>
            </w: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12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w:t>
            </w:r>
          </w:p>
        </w:tc>
        <w:tc>
          <w:tcPr>
            <w:tcW w:w="216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contracts</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2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0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1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Derivative</w:t>
            </w:r>
          </w:p>
        </w:tc>
        <w:tc>
          <w:tcPr>
            <w:tcW w:w="12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color w:val="auto"/>
                <w:w w:val="99"/>
              </w:rPr>
              <w:t>Derivative</w:t>
            </w:r>
          </w:p>
        </w:tc>
        <w:tc>
          <w:tcPr>
            <w:tcW w:w="9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w w:val="97"/>
              </w:rPr>
              <w:t>Derivative</w:t>
            </w:r>
          </w:p>
        </w:tc>
        <w:tc>
          <w:tcPr>
            <w:tcW w:w="0" w:type="dxa"/>
            <w:vAlign w:val="bottom"/>
          </w:tcPr>
          <w:p>
            <w:pPr>
              <w:spacing w:after="0"/>
              <w:rPr>
                <w:sz w:val="1"/>
                <w:szCs w:val="1"/>
                <w:color w:val="auto"/>
              </w:rPr>
            </w:pPr>
          </w:p>
        </w:tc>
      </w:tr>
      <w:tr>
        <w:trPr>
          <w:trHeight w:val="238"/>
        </w:trPr>
        <w:tc>
          <w:tcPr>
            <w:tcW w:w="3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Assets</w:t>
            </w: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six-month period</w:t>
            </w:r>
          </w:p>
        </w:tc>
        <w:tc>
          <w:tcPr>
            <w:tcW w:w="11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twelve-month period</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3,418</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1,281</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40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Remeasurement recognized in statement of</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(383)</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(10,369)</w:t>
            </w: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10,822</w:t>
            </w: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profit or loss</w:t>
            </w:r>
          </w:p>
        </w:tc>
        <w:tc>
          <w:tcPr>
            <w:tcW w:w="11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2,069</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15,871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375</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62,396</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16,067</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13,610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recognition</w:t>
            </w:r>
          </w:p>
        </w:tc>
        <w:tc>
          <w:tcPr>
            <w:tcW w:w="118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393</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1,349</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(40,081)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(39,843)</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(30,762)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331</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3,428</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11,946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(13,082)</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3,418</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 assets</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15,705</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3,418</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(13,082)</w:t>
            </w:r>
          </w:p>
        </w:tc>
        <w:tc>
          <w:tcPr>
            <w:tcW w:w="1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7"/>
        </w:trPr>
        <w:tc>
          <w:tcPr>
            <w:tcW w:w="107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DERIVATIVE ASSETS AND LIABILITIES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gain or loss on derivatives are recognized in Net financial income (expenses) in the consolidated statements of profit or loss and comprehensive profit or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0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(loss) on BTC options and selling contracts</w:t>
            </w: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25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6,566</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(2,424)</w:t>
            </w:r>
          </w:p>
        </w:tc>
        <w:tc>
          <w:tcPr>
            <w:tcW w:w="2000" w:type="dxa"/>
            <w:vAlign w:val="bottom"/>
            <w:tcBorders>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228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(loss) gain on settled contracts</w:t>
            </w:r>
          </w:p>
        </w:tc>
        <w:tc>
          <w:tcPr>
            <w:tcW w:w="2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(4,564)</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c>
          <w:tcPr>
            <w:tcW w:w="2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225</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r>
      <w:tr>
        <w:trPr>
          <w:trHeight w:val="209"/>
        </w:trPr>
        <w:tc>
          <w:tcPr>
            <w:tcW w:w="506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(2,135)</w:t>
            </w:r>
          </w:p>
        </w:tc>
        <w:tc>
          <w:tcPr>
            <w:tcW w:w="2000" w:type="dxa"/>
            <w:vAlign w:val="bottom"/>
            <w:tcBorders>
              <w:bottom w:val="single" w:sz="8" w:color="auto"/>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453</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(loss) on BTC Redemption Option</w:t>
            </w: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w:t>
            </w:r>
          </w:p>
        </w:tc>
        <w:tc>
          <w:tcPr>
            <w:tcW w:w="25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(1,508)</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on settled options</w:t>
            </w:r>
          </w:p>
        </w:tc>
        <w:tc>
          <w:tcPr>
            <w:tcW w:w="2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110</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1,125</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6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1,782</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(383)</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on warrants of private company</w:t>
            </w:r>
          </w:p>
        </w:tc>
        <w:tc>
          <w:tcPr>
            <w:tcW w:w="2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09"/>
        </w:trPr>
        <w:tc>
          <w:tcPr>
            <w:tcW w:w="5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w:t>
            </w:r>
          </w:p>
        </w:tc>
        <w:tc>
          <w:tcPr>
            <w:tcW w:w="2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(44)</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(44)</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3"/>
        </w:trPr>
        <w:tc>
          <w:tcPr>
            <w:tcW w:w="5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gain (loss)</w:t>
            </w:r>
          </w:p>
        </w:tc>
        <w:tc>
          <w:tcPr>
            <w:tcW w:w="25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3,740</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(2,135)</w:t>
            </w:r>
          </w:p>
        </w:tc>
        <w:tc>
          <w:tcPr>
            <w:tcW w:w="2000" w:type="dxa"/>
            <w:vAlign w:val="bottom"/>
            <w:tcBorders>
              <w:bottom w:val="single" w:sz="8" w:color="auto"/>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26</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r>
      <w:tr>
        <w:trPr>
          <w:trHeight w:val="439"/>
        </w:trPr>
        <w:tc>
          <w:tcPr>
            <w:tcW w:w="5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43"/>
        </w:trPr>
        <w:tc>
          <w:tcPr>
            <w:tcW w:w="50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5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ASSETS HELD FOR SALE</w:t>
            </w: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2025 and December 31, 2024, assets held for sale* consisted of the following:</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0"/>
        </w:trPr>
        <w:tc>
          <w:tcPr>
            <w:tcW w:w="7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7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7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4,519</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4,806</w:t>
            </w:r>
          </w:p>
        </w:tc>
      </w:tr>
      <w:tr>
        <w:trPr>
          <w:trHeight w:val="216"/>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1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666</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r>
      <w:tr>
        <w:trPr>
          <w:trHeight w:val="217"/>
        </w:trPr>
        <w:tc>
          <w:tcPr>
            <w:tcW w:w="7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5,185</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5,923</w:t>
            </w:r>
          </w:p>
        </w:tc>
      </w:tr>
    </w:tbl>
    <w:p>
      <w:pPr>
        <w:spacing w:after="0" w:line="196" w:lineRule="exact"/>
        <w:rPr>
          <w:sz w:val="20"/>
          <w:szCs w:val="20"/>
          <w:color w:val="auto"/>
        </w:rPr>
      </w:pPr>
    </w:p>
    <w:p>
      <w:pPr>
        <w:jc w:val="both"/>
        <w:ind w:firstLine="8"/>
        <w:spacing w:after="0" w:line="261" w:lineRule="auto"/>
        <w:tabs>
          <w:tab w:leader="none" w:pos="138"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Assets held for sale were measured at the lower of their carrying amount and fair value less costs to sell at the time of the reclassification. The fair value of the asset was determined using the latest sale approach, which is based on recent sales price concluded by the Company. It is a level 3 measurement under the fair value hierarchy and is a non-recurring measurement. The key assumption used by Management to determine the fair value is the most recent amount invoiced to a third party for a Miner sold.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2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Miners held for sale</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5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0"/>
        </w:trPr>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MicroBT</w:t>
            </w:r>
          </w:p>
        </w:tc>
        <w:tc>
          <w:tcPr>
            <w:tcW w:w="16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MicroBT</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Gain</w:t>
            </w:r>
          </w:p>
        </w:tc>
      </w:tr>
      <w:tr>
        <w:trPr>
          <w:trHeight w:val="216"/>
        </w:trPr>
        <w:tc>
          <w:tcPr>
            <w:tcW w:w="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WhatsMiner M30,</w:t>
            </w:r>
          </w:p>
        </w:tc>
        <w:tc>
          <w:tcPr>
            <w:tcW w:w="16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WhatsMiner</w:t>
            </w:r>
          </w:p>
        </w:tc>
        <w:tc>
          <w:tcPr>
            <w:tcW w:w="17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Bitmain S19j Pro</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(loss) on</w:t>
            </w:r>
          </w:p>
        </w:tc>
      </w:tr>
      <w:tr>
        <w:trPr>
          <w:trHeight w:val="238"/>
        </w:trPr>
        <w:tc>
          <w:tcPr>
            <w:tcW w:w="3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M31 &amp; M50 Miners</w:t>
            </w:r>
          </w:p>
        </w:tc>
        <w:tc>
          <w:tcPr>
            <w:tcW w:w="162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M20S Miners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of sale</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w:t>
            </w:r>
          </w:p>
        </w:tc>
      </w:tr>
      <w:tr>
        <w:trPr>
          <w:trHeight w:val="210"/>
        </w:trPr>
        <w:tc>
          <w:tcPr>
            <w:tcW w:w="3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Qty</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Qty</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Qty</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Qty</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731</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316</w:t>
            </w: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205</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1,031</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7,696</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1,363</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7,696</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(258)</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7,696</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1,363</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473</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8,169</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30,606</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6,565</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2,609</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822</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33,215</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(1,140)</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(251)</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(1,140)</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37,162</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7,677</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473</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2,609</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822</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40,244</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5,786</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1,587</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6,063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(4,620)</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(1,022)</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(3,120)</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(473)</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(473)</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32,819</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3,597</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8,395</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2,109</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41,214</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1,447</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181</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1,447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(9,339)</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(1,026)</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(399)</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(9,738)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24,927</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2,752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7,996</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2,054</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32,923</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7,673</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2,739</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7,673</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2,739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(11,177)</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(1,283)</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(11,177)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r>
      <w:tr>
        <w:trPr>
          <w:trHeight w:val="216"/>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Impairment (Note 11)</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(1,320)</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21,423</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2,888</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7,996</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2,054</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29,419</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4,942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r>
      <w:tr>
        <w:trPr>
          <w:trHeight w:val="21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2,900</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363</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2,900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(5,999)</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(686)</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(500)</w:t>
            </w: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(6,499)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r>
      <w:tr>
        <w:trPr>
          <w:trHeight w:val="209"/>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18,324</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2,565</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7,496</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1,954</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25,820</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4,519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7"/>
        </w:trPr>
        <w:tc>
          <w:tcPr>
            <w:tcW w:w="107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impairment loss in the consolidated statements of profit or loss and comprehensive profit or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35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6380" w:type="dxa"/>
            <w:vAlign w:val="bottom"/>
          </w:tcPr>
          <w:p>
            <w:pPr>
              <w:spacing w:after="0"/>
              <w:rPr>
                <w:sz w:val="18"/>
                <w:szCs w:val="18"/>
                <w:color w:val="auto"/>
              </w:rPr>
            </w:pPr>
          </w:p>
        </w:tc>
        <w:tc>
          <w:tcPr>
            <w:tcW w:w="358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63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09"/>
        </w:trPr>
        <w:tc>
          <w:tcPr>
            <w:tcW w:w="63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Argentina CGU</w:t>
            </w:r>
          </w:p>
        </w:tc>
        <w:tc>
          <w:tcPr>
            <w:tcW w:w="3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and construction prepayments and deposit</w:t>
            </w:r>
          </w:p>
        </w:tc>
        <w:tc>
          <w:tcPr>
            <w:tcW w:w="3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1,661</w:t>
            </w: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ROU assets</w:t>
            </w:r>
          </w:p>
        </w:tc>
        <w:tc>
          <w:tcPr>
            <w:tcW w:w="3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w:t>
            </w:r>
          </w:p>
        </w:tc>
      </w:tr>
      <w:tr>
        <w:trPr>
          <w:trHeight w:val="216"/>
        </w:trPr>
        <w:tc>
          <w:tcPr>
            <w:tcW w:w="6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5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13,190</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28,766</w:t>
            </w:r>
          </w:p>
        </w:tc>
      </w:tr>
      <w:tr>
        <w:trPr>
          <w:trHeight w:val="210"/>
        </w:trPr>
        <w:tc>
          <w:tcPr>
            <w:tcW w:w="63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30,530</w:t>
            </w:r>
          </w:p>
        </w:tc>
      </w:tr>
      <w:tr>
        <w:trPr>
          <w:trHeight w:val="209"/>
        </w:trPr>
        <w:tc>
          <w:tcPr>
            <w:tcW w:w="63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Miners held for sale</w:t>
            </w:r>
          </w:p>
        </w:tc>
        <w:tc>
          <w:tcPr>
            <w:tcW w:w="3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1,320</w:t>
            </w:r>
          </w:p>
        </w:tc>
      </w:tr>
      <w:tr>
        <w:trPr>
          <w:trHeight w:val="217"/>
        </w:trPr>
        <w:tc>
          <w:tcPr>
            <w:tcW w:w="638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31,850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Argentina CGU in the first quarter of 2025</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as a result of the decline of the Company’s market capitalization and BTC price, the Company performed separate evaluations of the recoverable amount of the assets for operating cryptocurrency mining facilities in Canada, United States, Argentina and Paraguay. The Company also observed an increase in gas prices which affects the Company’s cost of energy in Argentina. The recoverable amount for the Argentina cash generating unit (“CGU”) was calculated using the value in use model, which was determined to be lower than its carrying amount. Based on its calculation, the Company determined that an impairment loss should be recorded on its Argentina CGU in the amount of $15,910.</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the following assumptions would result in further impairment on the Argentina CGU as follows:</w:t>
      </w:r>
    </w:p>
    <w:p>
      <w:pPr>
        <w:spacing w:after="0" w:line="235"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8"/>
          <w:szCs w:val="18"/>
          <w:b w:val="1"/>
          <w:bCs w:val="1"/>
          <w:color w:val="auto"/>
        </w:rPr>
        <w:t>Increase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Sensitivity Analysis</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10"/>
        </w:trPr>
        <w:tc>
          <w:tcPr>
            <w:tcW w:w="10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 decrease of 5% of revenue</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An increase of 5% in the discount rate</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1,955</w:t>
            </w:r>
          </w:p>
        </w:tc>
      </w:tr>
      <w:tr>
        <w:trPr>
          <w:trHeight w:val="223"/>
        </w:trPr>
        <w:tc>
          <w:tcPr>
            <w:tcW w:w="10700" w:type="dxa"/>
            <w:vAlign w:val="bottom"/>
            <w:tcBorders>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 increase of 5% in energy prices</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r>
      <w:tr>
        <w:trPr>
          <w:trHeight w:val="439"/>
        </w:trPr>
        <w:tc>
          <w:tcPr>
            <w:tcW w:w="10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43"/>
        </w:trPr>
        <w:tc>
          <w:tcPr>
            <w:tcW w:w="10700" w:type="dxa"/>
            <w:vAlign w:val="bottom"/>
            <w:tcBorders>
              <w:right w:val="single" w:sz="8" w:color="auto"/>
            </w:tcBorders>
          </w:tcPr>
          <w:p>
            <w:pPr>
              <w:ind w:left="1044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107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IMPAIRMENT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Impairment on Argentina CGU in the first quarter of 2025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assumptions used in the value in use calculation for the Argentina CGU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60" w:type="dxa"/>
            <w:vAlign w:val="bottom"/>
            <w:tcBorders>
              <w:top w:val="single" w:sz="8" w:color="auto"/>
              <w:bottom w:val="single" w:sz="8" w:color="auto"/>
            </w:tcBorders>
          </w:tcPr>
          <w:p>
            <w:pPr>
              <w:spacing w:after="0"/>
              <w:rPr>
                <w:sz w:val="19"/>
                <w:szCs w:val="19"/>
                <w:color w:val="auto"/>
              </w:rPr>
            </w:pPr>
          </w:p>
        </w:tc>
        <w:tc>
          <w:tcPr>
            <w:tcW w:w="5140" w:type="dxa"/>
            <w:vAlign w:val="bottom"/>
            <w:tcBorders>
              <w:top w:val="single" w:sz="8" w:color="auto"/>
              <w:bottom w:val="single" w:sz="8" w:color="auto"/>
            </w:tcBorders>
          </w:tcPr>
          <w:p>
            <w:pPr>
              <w:spacing w:after="0"/>
              <w:rPr>
                <w:sz w:val="19"/>
                <w:szCs w:val="19"/>
                <w:color w:val="auto"/>
              </w:rPr>
            </w:pPr>
          </w:p>
        </w:tc>
        <w:tc>
          <w:tcPr>
            <w:tcW w:w="45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First quarter of 2025</w:t>
            </w:r>
          </w:p>
        </w:tc>
      </w:tr>
      <w:tr>
        <w:trPr>
          <w:trHeight w:val="191"/>
        </w:trPr>
        <w:tc>
          <w:tcPr>
            <w:tcW w:w="1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51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Two optimistic and two pessimistic scenarios and one status quo</w:t>
            </w:r>
          </w:p>
        </w:tc>
        <w:tc>
          <w:tcPr>
            <w:tcW w:w="45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weighted average daily revenue per Terahash used in</w:t>
            </w:r>
          </w:p>
        </w:tc>
      </w:tr>
      <w:tr>
        <w:trPr>
          <w:trHeight w:val="216"/>
        </w:trPr>
        <w:tc>
          <w:tcPr>
            <w:tcW w:w="156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scenario, each with an estimated future revenue per Terahash, were</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value in use calculation was $0.05/Terahash</w:t>
            </w:r>
          </w:p>
        </w:tc>
      </w:tr>
      <w:tr>
        <w:trPr>
          <w:trHeight w:val="216"/>
        </w:trPr>
        <w:tc>
          <w:tcPr>
            <w:tcW w:w="156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used to project revenues and associated cash flows from</w:t>
            </w:r>
          </w:p>
        </w:tc>
        <w:tc>
          <w:tcPr>
            <w:tcW w:w="4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mining. Management assigned probabilities to each</w:t>
            </w:r>
          </w:p>
        </w:tc>
        <w:tc>
          <w:tcPr>
            <w:tcW w:w="4540" w:type="dxa"/>
            <w:vAlign w:val="bottom"/>
          </w:tcPr>
          <w:p>
            <w:pPr>
              <w:spacing w:after="0"/>
              <w:rPr>
                <w:sz w:val="18"/>
                <w:szCs w:val="18"/>
                <w:color w:val="auto"/>
              </w:rPr>
            </w:pPr>
          </w:p>
        </w:tc>
      </w:tr>
      <w:tr>
        <w:trPr>
          <w:trHeight w:val="234"/>
        </w:trPr>
        <w:tc>
          <w:tcPr>
            <w:tcW w:w="156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scenario to calculate weighted average expected outcomes.</w:t>
            </w:r>
          </w:p>
        </w:tc>
        <w:tc>
          <w:tcPr>
            <w:tcW w:w="4540" w:type="dxa"/>
            <w:vAlign w:val="bottom"/>
            <w:tcBorders>
              <w:bottom w:val="single" w:sz="8" w:color="auto"/>
            </w:tcBorders>
          </w:tcPr>
          <w:p>
            <w:pPr>
              <w:spacing w:after="0"/>
              <w:rPr>
                <w:sz w:val="20"/>
                <w:szCs w:val="20"/>
                <w:color w:val="auto"/>
              </w:rPr>
            </w:pPr>
          </w:p>
        </w:tc>
      </w:tr>
      <w:tr>
        <w:trPr>
          <w:trHeight w:val="187"/>
        </w:trPr>
        <w:tc>
          <w:tcPr>
            <w:tcW w:w="15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Discount rate and</w:t>
            </w:r>
          </w:p>
        </w:tc>
        <w:tc>
          <w:tcPr>
            <w:tcW w:w="514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color w:val="auto"/>
              </w:rPr>
              <w:t>The discount rate reflects Management’s assumptions regarding the</w:t>
            </w:r>
          </w:p>
        </w:tc>
        <w:tc>
          <w:tcPr>
            <w:tcW w:w="454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The value in use of the CGU was determined based on the</w:t>
            </w:r>
          </w:p>
        </w:tc>
      </w:tr>
      <w:tr>
        <w:trPr>
          <w:trHeight w:val="220"/>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specific risk. The pre-tax discount rate used was estimated</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present value of the expected cash flows over a four-year</w:t>
            </w:r>
          </w:p>
        </w:tc>
      </w:tr>
      <w:tr>
        <w:trPr>
          <w:trHeight w:val="216"/>
        </w:trPr>
        <w:tc>
          <w:tcPr>
            <w:tcW w:w="156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some of the risk already being implicitly reflected through</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 discounted at an annual pre-tax rate of 30% in</w:t>
            </w:r>
          </w:p>
        </w:tc>
      </w:tr>
      <w:tr>
        <w:trPr>
          <w:trHeight w:val="216"/>
        </w:trPr>
        <w:tc>
          <w:tcPr>
            <w:tcW w:w="156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allocation of probabilities to the various scenarios</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varying scenarios</w:t>
            </w:r>
          </w:p>
        </w:tc>
      </w:tr>
      <w:tr>
        <w:trPr>
          <w:trHeight w:val="234"/>
        </w:trPr>
        <w:tc>
          <w:tcPr>
            <w:tcW w:w="156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included in the revenue calculation.</w:t>
            </w:r>
          </w:p>
        </w:tc>
        <w:tc>
          <w:tcPr>
            <w:tcW w:w="4540" w:type="dxa"/>
            <w:vAlign w:val="bottom"/>
            <w:tcBorders>
              <w:bottom w:val="single" w:sz="8" w:color="auto"/>
            </w:tcBorders>
          </w:tcPr>
          <w:p>
            <w:pPr>
              <w:spacing w:after="0"/>
              <w:rPr>
                <w:sz w:val="20"/>
                <w:szCs w:val="20"/>
                <w:color w:val="auto"/>
              </w:rPr>
            </w:pPr>
          </w:p>
        </w:tc>
      </w:tr>
      <w:tr>
        <w:trPr>
          <w:trHeight w:val="191"/>
        </w:trPr>
        <w:tc>
          <w:tcPr>
            <w:tcW w:w="1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Energy prices</w:t>
            </w:r>
          </w:p>
        </w:tc>
        <w:tc>
          <w:tcPr>
            <w:tcW w:w="51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Management estimated that energy prices for the duration of the</w:t>
            </w:r>
          </w:p>
        </w:tc>
        <w:tc>
          <w:tcPr>
            <w:tcW w:w="45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$0.05 per kilowatt hour</w:t>
            </w:r>
          </w:p>
        </w:tc>
      </w:tr>
      <w:tr>
        <w:trPr>
          <w:trHeight w:val="234"/>
        </w:trPr>
        <w:tc>
          <w:tcPr>
            <w:tcW w:w="156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forecasted years will be approximately:</w:t>
            </w:r>
          </w:p>
        </w:tc>
        <w:tc>
          <w:tcPr>
            <w:tcW w:w="4540" w:type="dxa"/>
            <w:vAlign w:val="bottom"/>
            <w:tcBorders>
              <w:bottom w:val="single" w:sz="8" w:color="auto"/>
            </w:tcBorders>
          </w:tcPr>
          <w:p>
            <w:pPr>
              <w:spacing w:after="0"/>
              <w:rPr>
                <w:sz w:val="20"/>
                <w:szCs w:val="20"/>
                <w:color w:val="auto"/>
              </w:rPr>
            </w:pPr>
          </w:p>
        </w:tc>
      </w:tr>
      <w:tr>
        <w:trPr>
          <w:trHeight w:val="191"/>
        </w:trPr>
        <w:tc>
          <w:tcPr>
            <w:tcW w:w="1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Terminal values</w:t>
            </w:r>
          </w:p>
        </w:tc>
        <w:tc>
          <w:tcPr>
            <w:tcW w:w="51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Management estimated the terminal value of the Miners included in</w:t>
            </w:r>
          </w:p>
        </w:tc>
        <w:tc>
          <w:tcPr>
            <w:tcW w:w="45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Approximately 1 year</w:t>
            </w:r>
          </w:p>
        </w:tc>
      </w:tr>
      <w:tr>
        <w:trPr>
          <w:trHeight w:val="216"/>
        </w:trPr>
        <w:tc>
          <w:tcPr>
            <w:tcW w:w="156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CGU for the purposes of the impairment testing to be derived</w:t>
            </w:r>
          </w:p>
        </w:tc>
        <w:tc>
          <w:tcPr>
            <w:tcW w:w="4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the Miners’ direct margin applied to the ending hashrate for a</w:t>
            </w:r>
          </w:p>
        </w:tc>
        <w:tc>
          <w:tcPr>
            <w:tcW w:w="4540" w:type="dxa"/>
            <w:vAlign w:val="bottom"/>
          </w:tcPr>
          <w:p>
            <w:pPr>
              <w:spacing w:after="0"/>
              <w:rPr>
                <w:sz w:val="18"/>
                <w:szCs w:val="18"/>
                <w:color w:val="auto"/>
              </w:rPr>
            </w:pPr>
          </w:p>
        </w:tc>
      </w:tr>
      <w:tr>
        <w:trPr>
          <w:trHeight w:val="241"/>
        </w:trPr>
        <w:tc>
          <w:tcPr>
            <w:tcW w:w="156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period of:</w:t>
            </w:r>
          </w:p>
        </w:tc>
        <w:tc>
          <w:tcPr>
            <w:tcW w:w="4540" w:type="dxa"/>
            <w:vAlign w:val="bottom"/>
            <w:tcBorders>
              <w:bottom w:val="single" w:sz="8" w:color="auto"/>
            </w:tcBorders>
          </w:tcPr>
          <w:p>
            <w:pPr>
              <w:spacing w:after="0"/>
              <w:rPr>
                <w:sz w:val="20"/>
                <w:szCs w:val="20"/>
                <w:color w:val="auto"/>
              </w:rPr>
            </w:pPr>
          </w:p>
        </w:tc>
      </w:tr>
    </w:tbl>
    <w:p>
      <w:pPr>
        <w:spacing w:after="0" w:line="196" w:lineRule="exact"/>
        <w:rPr>
          <w:sz w:val="20"/>
          <w:szCs w:val="20"/>
          <w:color w:val="auto"/>
        </w:rPr>
      </w:pPr>
    </w:p>
    <w:p>
      <w:pPr>
        <w:ind w:left="160" w:hanging="137"/>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BTC price and BTC network difficulty that can lead to changes in expected revenues were considered in the various scenarios listed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in Argentina CGU in the second quarter of 2025</w:t>
      </w:r>
    </w:p>
    <w:p>
      <w:pPr>
        <w:spacing w:after="0" w:line="31" w:lineRule="exact"/>
        <w:rPr>
          <w:sz w:val="20"/>
          <w:szCs w:val="20"/>
          <w:color w:val="auto"/>
        </w:rPr>
      </w:pPr>
    </w:p>
    <w:p>
      <w:pPr>
        <w:jc w:val="both"/>
        <w:ind w:left="20" w:hanging="4"/>
        <w:spacing w:after="0" w:line="251" w:lineRule="auto"/>
        <w:rPr>
          <w:sz w:val="20"/>
          <w:szCs w:val="20"/>
          <w:color w:val="auto"/>
        </w:rPr>
      </w:pPr>
      <w:r>
        <w:rPr>
          <w:rFonts w:ascii="Times New Roman" w:cs="Times New Roman" w:eastAsia="Times New Roman" w:hAnsi="Times New Roman"/>
          <w:sz w:val="18"/>
          <w:szCs w:val="18"/>
          <w:color w:val="auto"/>
        </w:rPr>
        <w:t>On April 30 2025, the Company was informed that its electricity supplier at Rio Cuarto, Argentina, Generación Mediterránea S.A. (“GMSA”), appointed local and international financial advisors to conduct a process with their creditors regarding the restructuring of its financial debt and is negotiating with its commercial suppliers. GMSA confirmed at that time that the Company would be able to continue consuming power at the Rio Cuarto site. However, on May 12, 2025, the Company was informed by GMSA that, effective immediately, they were halting the supply of electricity to the Company's Rio Cuarto, Argentina facility until further notice. As a result, there is uncertainty around the potential resumption of the supply of electricity and the timing thereof. This event has necessitated a pause in the Company's cryptocurrency Mining activities in Argentina and, unless resolved, may significantly impact ongoing operations in that country. On August 11, 2025, the Company determined it would discontinue its operations at its Bitcoin data center in Rio Cuarto, Argentina by November 11, 2025. Refer to Note 29 for more details.</w:t>
      </w:r>
    </w:p>
    <w:p>
      <w:pPr>
        <w:spacing w:after="0" w:line="194"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Management views the suspension of the Mining activities in Argentina as an indicator of impairment and performed an evaluation of the recoverable amount of the assets for operating cryptocurrency mining facilities in Argentina. The recoverable amount for the Argentina CGU was calculated using fair value less costs of disposal, which was determined to be lower than its carrying amount. Based on its calculation, the Company determined that an impairment loss should be recorded on its Argentina CGU in the amount of $14,620 during the 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NOTE 13: PROPERTY, PLANT AND EQUIPMENT</w:t>
            </w: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Machinery</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BVVE</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plants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0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425,447</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34,426</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59,827</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1,748</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521,448</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104,429</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438</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4,289</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893</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110,149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through business combination</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38,997</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5,937</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91,119</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18,376</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580</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1,678</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156,687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(30,566)</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(15,611)</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(46,177)</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(32,606)</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(32,606)</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505,701</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25,190</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91,119</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18,476</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64,696</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4,319</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709,501</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141,878</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819</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29,377</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849</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172,923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25, 27</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59,187</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353</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1,025</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2,516</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256</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64,412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(4,347)</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(29,483)</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13,479</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15,253</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28,766</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on deposits transferred to</w:t>
            </w:r>
          </w:p>
        </w:tc>
        <w:tc>
          <w:tcPr>
            <w:tcW w:w="1020" w:type="dxa"/>
            <w:vAlign w:val="bottom"/>
          </w:tcPr>
          <w:p>
            <w:pPr>
              <w:spacing w:after="0"/>
              <w:rPr>
                <w:sz w:val="17"/>
                <w:szCs w:val="17"/>
                <w:color w:val="auto"/>
              </w:rPr>
            </w:pP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w:t>
            </w: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w:t>
            </w:r>
          </w:p>
        </w:tc>
        <w:tc>
          <w:tcPr>
            <w:tcW w:w="0" w:type="dxa"/>
            <w:vAlign w:val="bottom"/>
          </w:tcPr>
          <w:p>
            <w:pPr>
              <w:spacing w:after="0"/>
              <w:rPr>
                <w:sz w:val="1"/>
                <w:szCs w:val="1"/>
                <w:color w:val="auto"/>
              </w:rPr>
            </w:pPr>
          </w:p>
        </w:tc>
      </w:tr>
      <w:tr>
        <w:trPr>
          <w:trHeight w:val="234"/>
        </w:trPr>
        <w:tc>
          <w:tcPr>
            <w:tcW w:w="3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PPE</w:t>
            </w:r>
          </w:p>
        </w:tc>
        <w:tc>
          <w:tcPr>
            <w:tcW w:w="1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0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180,821</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1,172</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1,025</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47,183</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1,139</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232,415</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 as of June 30, 2025</w:t>
            </w:r>
          </w:p>
        </w:tc>
        <w:tc>
          <w:tcPr>
            <w:tcW w:w="10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324,880</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24,018</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90,044</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17,451</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17,513</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3,180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477,086</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0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354,803</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5,740</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50,728</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1,262</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412,533</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294,311</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29,114</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10,228</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529</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334,182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(208,471)</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(208,471)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discount rate in asset</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obligations</w:t>
            </w:r>
          </w:p>
        </w:tc>
        <w:tc>
          <w:tcPr>
            <w:tcW w:w="10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tax recovery</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(428)</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425,447</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34,426</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59,827</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1,748</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521,448</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199,794</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424</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25,656</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647</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226,521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25, 27</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141,219</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423</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4,166</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146,030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25, 27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(197,199)</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(197,199)</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on deposits transferred to</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PPE</w:t>
            </w:r>
          </w:p>
        </w:tc>
        <w:tc>
          <w:tcPr>
            <w:tcW w:w="10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6,750</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6,832</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141,878</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819</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29,377</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849</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172,923</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2024</w:t>
            </w: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283,569</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33,607</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30,450</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899</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7"/>
        </w:trPr>
        <w:tc>
          <w:tcPr>
            <w:tcW w:w="107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not subject to depreciation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property, plant and equipment that are not yet placed into service amounted to $11,275 and are not yet subject to depreciation.</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Through the sale of the Yguazu Mining Site, the Company sold $34,006 of property, plant and equipment to HIVE. Refer to Note 6 for more details.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LONG-TERM DEPOSITS AND EQUIPMENT PREPAYMENTS</w:t>
            </w:r>
          </w:p>
        </w:tc>
        <w:tc>
          <w:tcPr>
            <w:tcW w:w="1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6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9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69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10,878</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4,513</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76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1,627</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51,854</w:t>
            </w:r>
          </w:p>
        </w:tc>
      </w:tr>
      <w:tr>
        <w:trPr>
          <w:trHeight w:val="216"/>
        </w:trPr>
        <w:tc>
          <w:tcPr>
            <w:tcW w:w="6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transaction fees - undrawn tranche of the credit facility</w:t>
            </w:r>
          </w:p>
        </w:tc>
        <w:tc>
          <w:tcPr>
            <w:tcW w:w="17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19</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2,634</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9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15,139</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56,367</w:t>
            </w:r>
          </w:p>
        </w:tc>
      </w:tr>
    </w:tbl>
    <w:p>
      <w:pPr>
        <w:spacing w:after="0" w:line="196" w:lineRule="exact"/>
        <w:rPr>
          <w:sz w:val="20"/>
          <w:szCs w:val="20"/>
          <w:color w:val="auto"/>
        </w:rPr>
      </w:pPr>
    </w:p>
    <w:p>
      <w:pPr>
        <w:ind w:left="20" w:firstLine="3"/>
        <w:spacing w:after="0" w:line="284" w:lineRule="auto"/>
        <w:tabs>
          <w:tab w:leader="none" w:pos="1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Following the sale of the Yguazu Mining Site, the Company sold $18,321 of long-term deposits and equipment prepayments to HIVE. Refer to Note 6 for more details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Equipment and construction prepayments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details the equipment and construction prepayments: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53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Purchase Order</w:t>
            </w:r>
          </w:p>
        </w:tc>
        <w:tc>
          <w:tcPr>
            <w:tcW w:w="332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i.</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34,791</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BVVE and electrical components</w:t>
            </w:r>
          </w:p>
        </w:tc>
        <w:tc>
          <w:tcPr>
            <w:tcW w:w="33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3,499</w:t>
            </w:r>
          </w:p>
        </w:tc>
      </w:tr>
      <w:tr>
        <w:trPr>
          <w:trHeight w:val="216"/>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work and materials*</w:t>
            </w:r>
          </w:p>
        </w:tc>
        <w:tc>
          <w:tcPr>
            <w:tcW w:w="3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1,584</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13,564</w:t>
            </w:r>
          </w:p>
        </w:tc>
      </w:tr>
      <w:tr>
        <w:trPr>
          <w:trHeight w:val="232"/>
        </w:trPr>
        <w:tc>
          <w:tcPr>
            <w:tcW w:w="53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1,627</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60" w:hanging="137"/>
        <w:spacing w:after="0"/>
        <w:tabs>
          <w:tab w:leader="none" w:pos="160" w:val="left"/>
        </w:tabs>
        <w:numPr>
          <w:ilvl w:val="1"/>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Deposits for construction work and materials mainly related to the Argentina, Paraguay and United States expansions.</w:t>
      </w:r>
    </w:p>
    <w:p>
      <w:pPr>
        <w:spacing w:after="0" w:line="20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March 2024 Purchase Order</w:t>
      </w:r>
    </w:p>
    <w:p>
      <w:pPr>
        <w:spacing w:after="0" w:line="29" w:lineRule="exact"/>
        <w:rPr>
          <w:sz w:val="20"/>
          <w:szCs w:val="20"/>
          <w:color w:val="auto"/>
        </w:rPr>
      </w:pPr>
    </w:p>
    <w:p>
      <w:pPr>
        <w:jc w:val="both"/>
        <w:ind w:left="20" w:hanging="4"/>
        <w:spacing w:after="0" w:line="252" w:lineRule="auto"/>
        <w:rPr>
          <w:sz w:val="20"/>
          <w:szCs w:val="20"/>
          <w:color w:val="auto"/>
        </w:rPr>
      </w:pPr>
      <w:r>
        <w:rPr>
          <w:rFonts w:ascii="Times New Roman" w:cs="Times New Roman" w:eastAsia="Times New Roman" w:hAnsi="Times New Roman"/>
          <w:sz w:val="18"/>
          <w:szCs w:val="18"/>
          <w:color w:val="auto"/>
        </w:rPr>
        <w:t>During the first quarter of 2024, the Company ordered 19,369 Bitmain T21 Miners, 3,975 Bitmain S21 Miners and 762 Bitmain S21 Hydro Miners (collectively defined as the “March 2024 Purchase Order”) for $51,285, $13,608 and $4,338, respectively, with deliveries scheduled from April 2024 to November 2024. In November 2024, the Company amended the March 2024 Purchase Order and upgraded 12,853 Bitmain T21 Miners to 12,853 S21 Pro Miners for $22,654. The amendment had an embedded derivative for the BTC Redemption Option, as described in Note 10, which was initially recognized at a fair value of $1,349, reducing the Company’s Long-term deposits and equipment prepayments. As of June 30, 2025, all Miners on the March 2024 Purchase Order were received and the equipment prepayment amount was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 xml:space="preserve">LONG-TERM DEPOSITS AND EQUIPMENT PREPAYMENTS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Equipment and construction prepayments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March 2025 Swap Order</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relation with the March 2025 Swap Order, the Company returned 4,160 Bitmain T21 Miners and purchased 3,660 Bitmain S21+ Miners. In consideration for the returned products, the Company received a credit of $9,484 which was applied against the purchase price of $11,858. In March 2025, the Company paid the net $2,374 in BTC which can be redeemed on a quarterly basis (i.e., 29 BTC Pledged). In the March 2025 Swap Order, 3,440 S21+ miners were received which corresponds to the hashrate specified in the initial agreement. As of June 30, 2025, all Miners of the March 2025 Swap Order were received and the equipment prepayment amount was nil.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REFUNDABLE DEPOSITS</w:t>
            </w:r>
          </w:p>
        </w:tc>
        <w:tc>
          <w:tcPr>
            <w:tcW w:w="3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54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4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54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w:t>
            </w:r>
          </w:p>
        </w:tc>
        <w:tc>
          <w:tcPr>
            <w:tcW w:w="32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i.</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5,080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Refundable Hosting Deposits</w:t>
            </w:r>
          </w:p>
        </w:tc>
        <w:tc>
          <w:tcPr>
            <w:tcW w:w="32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6"/>
              </w:rPr>
              <w:t>ii.</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14,216</w:t>
            </w:r>
          </w:p>
        </w:tc>
      </w:tr>
      <w:tr>
        <w:trPr>
          <w:trHeight w:val="216"/>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350</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4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5,430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21,956</w:t>
            </w:r>
          </w:p>
        </w:tc>
      </w:tr>
    </w:tbl>
    <w:p>
      <w:pPr>
        <w:spacing w:after="0" w:line="19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Security deposits for energy</w:t>
      </w:r>
    </w:p>
    <w:p>
      <w:pPr>
        <w:spacing w:after="0" w:line="29"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The security deposits for energy consumption related to the operational Paso Pe and in-construction Yguazu data centers in Paraguay, for which the undiscounted amounts represented $5,931 and nil, respectively, as of June 30, 2025 (December 31, 2024: $5,931 and $3,379, respectively), as the latter was disposed on March 17, 2025. Refer to Note 6.</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r>
      <w:r>
        <w:rPr>
          <w:sz w:val="20"/>
          <w:szCs w:val="20"/>
          <w:color w:val="auto"/>
        </w:rPr>
        <w:tab/>
      </w:r>
      <w:r>
        <w:rPr>
          <w:rFonts w:ascii="Times New Roman" w:cs="Times New Roman" w:eastAsia="Times New Roman" w:hAnsi="Times New Roman"/>
          <w:sz w:val="17"/>
          <w:szCs w:val="17"/>
          <w:i w:val="1"/>
          <w:iCs w:val="1"/>
          <w:color w:val="auto"/>
        </w:rPr>
        <w:t>Refundable Hosting Deposits</w:t>
      </w:r>
    </w:p>
    <w:p>
      <w:pPr>
        <w:spacing w:after="0" w:line="29" w:lineRule="exact"/>
        <w:rPr>
          <w:sz w:val="20"/>
          <w:szCs w:val="20"/>
          <w:color w:val="auto"/>
        </w:rPr>
      </w:pPr>
    </w:p>
    <w:p>
      <w:pPr>
        <w:jc w:val="both"/>
        <w:ind w:left="20" w:hanging="4"/>
        <w:spacing w:after="0" w:line="251" w:lineRule="auto"/>
        <w:rPr>
          <w:sz w:val="20"/>
          <w:szCs w:val="20"/>
          <w:color w:val="auto"/>
        </w:rPr>
      </w:pPr>
      <w:r>
        <w:rPr>
          <w:rFonts w:ascii="Times New Roman" w:cs="Times New Roman" w:eastAsia="Times New Roman" w:hAnsi="Times New Roman"/>
          <w:sz w:val="18"/>
          <w:szCs w:val="18"/>
          <w:color w:val="auto"/>
        </w:rPr>
        <w:t>In September 2024 and in October 2024, the Company entered into two Miner hosting agreements (the “Panther Creek Hosting Agreement” and the “Scrubgrass Hosting Agreement”) with Stronghold which commenced on October 1, 2024 and November 1, 2024, respectively. In connection with the execution of these two Miner Hosting Agreements, the Company made two deposits of $7,800 each with Stronghold (the “Panther Creek Refundable Deposit” and “Scrubgrass Refundable Deposit”, collectively, the “Refundable Hosting Deposits”). The Refundable Hosting Deposits bear an annual interest rate at Secured Overnight Financing Rate (“SOFR”) + 1% (the “Annual Interest Rate”). The Refundable Hosting Deposits were initially planned to be repaid in full to the Company within one business day from the end of the initial term expiring on December 31, 2025. Following the acquisition of Stronghold on March 14, 2025, the Panther Creek Hosting Agreement and Scrubgrass Hosting Agreement were terminated, settling the Refundable Hosting Deposits. Refer to Note 22 for more details on the financial instruments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INVESTMENT IN ASSOCIATE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acquired a minority interest in a PHCC, which comprised of preferred shares and warrants to purchase preferred shares of the PHCC with an initial value of $875 and $375, respectively. The investment provides the Company with significant influence over the PHCC and is accounted for using the equity method. The warrants are recognized as derivative assets and measured through fair value through profit or loss. Refer to Note 10 for more details.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Company’s share of the PHCC’s net loss was $3 which was included in Net financial income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17:  TRADE PAYABLES AND ACCRUED LIABILITIES</w:t>
            </w:r>
          </w:p>
        </w:tc>
        <w:tc>
          <w:tcPr>
            <w:tcW w:w="28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7"/>
        </w:trPr>
        <w:tc>
          <w:tcPr>
            <w:tcW w:w="7140" w:type="dxa"/>
            <w:vAlign w:val="bottom"/>
          </w:tcPr>
          <w:p>
            <w:pPr>
              <w:spacing w:after="0"/>
              <w:rPr>
                <w:sz w:val="24"/>
                <w:szCs w:val="24"/>
                <w:color w:val="auto"/>
              </w:rPr>
            </w:pPr>
          </w:p>
        </w:tc>
        <w:tc>
          <w:tcPr>
            <w:tcW w:w="2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71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7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35,709</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21,915</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2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10,757</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3,736</w:t>
            </w:r>
          </w:p>
        </w:tc>
      </w:tr>
      <w:tr>
        <w:trPr>
          <w:trHeight w:val="216"/>
        </w:trPr>
        <w:tc>
          <w:tcPr>
            <w:tcW w:w="7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option and selling contracts payable</w:t>
            </w:r>
          </w:p>
        </w:tc>
        <w:tc>
          <w:tcPr>
            <w:tcW w:w="2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2,387</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r>
      <w:tr>
        <w:trPr>
          <w:trHeight w:val="232"/>
        </w:trPr>
        <w:tc>
          <w:tcPr>
            <w:tcW w:w="7140" w:type="dxa"/>
            <w:vAlign w:val="bottom"/>
          </w:tcPr>
          <w:p>
            <w:pPr>
              <w:spacing w:after="0"/>
              <w:rPr>
                <w:sz w:val="20"/>
                <w:szCs w:val="20"/>
                <w:color w:val="auto"/>
              </w:rPr>
            </w:pPr>
          </w:p>
        </w:tc>
        <w:tc>
          <w:tcPr>
            <w:tcW w:w="2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48,853</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0" w:hanging="132"/>
        <w:spacing w:after="0"/>
        <w:tabs>
          <w:tab w:leader="none" w:pos="1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the Acquisition Date, additions from the business combination amounted to $22,304 for trade accounts payable and accrued liabilities. Refer to Note</w:t>
      </w:r>
    </w:p>
    <w:p>
      <w:pPr>
        <w:spacing w:after="0" w:line="13" w:lineRule="exact"/>
        <w:rPr>
          <w:rFonts w:ascii="Times New Roman" w:cs="Times New Roman" w:eastAsia="Times New Roman" w:hAnsi="Times New Roman"/>
          <w:sz w:val="18"/>
          <w:szCs w:val="18"/>
          <w:i w:val="1"/>
          <w:iCs w:val="1"/>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5 for more details.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WARRANT LIABILITIES</w:t>
            </w:r>
          </w:p>
        </w:tc>
        <w:tc>
          <w:tcPr>
            <w:tcW w:w="3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warrant liabilities is as follows:</w:t>
            </w:r>
          </w:p>
        </w:tc>
        <w:tc>
          <w:tcPr>
            <w:tcW w:w="3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0"/>
        </w:trPr>
        <w:tc>
          <w:tcPr>
            <w:tcW w:w="6340" w:type="dxa"/>
            <w:vAlign w:val="bottom"/>
          </w:tcPr>
          <w:p>
            <w:pPr>
              <w:spacing w:after="0"/>
              <w:rPr>
                <w:sz w:val="24"/>
                <w:szCs w:val="24"/>
                <w:color w:val="auto"/>
              </w:rPr>
            </w:pPr>
          </w:p>
        </w:tc>
        <w:tc>
          <w:tcPr>
            <w:tcW w:w="36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3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63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Private Placement</w:t>
            </w:r>
          </w:p>
        </w:tc>
        <w:tc>
          <w:tcPr>
            <w:tcW w:w="3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2,228</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r>
        <w:trPr>
          <w:trHeight w:val="216"/>
        </w:trPr>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 Warrants</w:t>
            </w:r>
          </w:p>
        </w:tc>
        <w:tc>
          <w:tcPr>
            <w:tcW w:w="3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2,923</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Borders>
              <w:bottom w:val="single" w:sz="8" w:color="auto"/>
            </w:tcBorders>
            <w:shd w:val="clear" w:color="auto" w:fill="CCEEFF"/>
          </w:tcPr>
          <w:p>
            <w:pPr>
              <w:spacing w:after="0"/>
              <w:rPr>
                <w:sz w:val="18"/>
                <w:szCs w:val="18"/>
                <w:color w:val="auto"/>
              </w:rPr>
            </w:pPr>
          </w:p>
        </w:tc>
        <w:tc>
          <w:tcPr>
            <w:tcW w:w="36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5,151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that included 22,222,223 warrants and 3,000,000 broker warrants to purchase common shares (the “2023 Private Placement”).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2025, in connection with the credit facility with Macquarie, the Company granted Macquarie 5,330,946 warrants (the “2025 Warrants”). Refer to Note 19 for more details.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and broker warrant granted under the 2023 Private Placement and the 2025 Warrants are convertible for a fixed number of common shares of the Company but have a contingent cashless exercise clause which results in a classification of the 2023 Private Placement warrants and the 2025 Warrants as a financial liability. In connection with the 2025 Warrants, on the granting date, the Company initially recognized warrant liabilities of $2,900, which is deducted from the carrying amount of the debt. Subsequently, measurement of warrants are at fair value through profit or loss which are recognized in Net financial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18:  WARRANT LIABILITIES </w:t>
            </w:r>
            <w:r>
              <w:rPr>
                <w:rFonts w:ascii="Times New Roman" w:cs="Times New Roman" w:eastAsia="Times New Roman" w:hAnsi="Times New Roman"/>
                <w:sz w:val="18"/>
                <w:szCs w:val="18"/>
                <w:color w:val="auto"/>
              </w:rPr>
              <w:t>(Continued)</w:t>
            </w:r>
          </w:p>
        </w:tc>
        <w:tc>
          <w:tcPr>
            <w:tcW w:w="2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Details of the outstanding warrant liabilities are as follows:</w:t>
            </w:r>
          </w:p>
        </w:tc>
        <w:tc>
          <w:tcPr>
            <w:tcW w:w="2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660" w:type="dxa"/>
            <w:vAlign w:val="bottom"/>
          </w:tcPr>
          <w:p>
            <w:pPr>
              <w:spacing w:after="0"/>
              <w:rPr>
                <w:sz w:val="24"/>
                <w:szCs w:val="24"/>
                <w:color w:val="auto"/>
              </w:rPr>
            </w:pP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i w:val="1"/>
                <w:iCs w:val="1"/>
                <w:color w:val="auto"/>
              </w:rPr>
              <w:t>six-month period</w:t>
            </w:r>
          </w:p>
        </w:tc>
        <w:tc>
          <w:tcPr>
            <w:tcW w:w="1660" w:type="dxa"/>
            <w:vAlign w:val="bottom"/>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i w:val="1"/>
                <w:iCs w:val="1"/>
                <w:color w:val="auto"/>
              </w:rPr>
              <w:t>twelve-month period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 exercise price</w:t>
            </w:r>
          </w:p>
        </w:tc>
        <w:tc>
          <w:tcPr>
            <w:tcW w:w="166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0" w:type="dxa"/>
            <w:vAlign w:val="bottom"/>
          </w:tcPr>
          <w:p>
            <w:pPr>
              <w:spacing w:after="0"/>
              <w:rPr>
                <w:sz w:val="1"/>
                <w:szCs w:val="1"/>
                <w:color w:val="auto"/>
              </w:rPr>
            </w:pPr>
          </w:p>
        </w:tc>
      </w:tr>
      <w:tr>
        <w:trPr>
          <w:trHeight w:val="238"/>
        </w:trPr>
        <w:tc>
          <w:tcPr>
            <w:tcW w:w="27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(USD)</w:t>
            </w: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Number of warrants</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10,841,482</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35,105,390</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5,330,946</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(5,111,111)</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(19,152,797)</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7"/>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as of period end</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16,172,428</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10,841,482</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June 30, 2025, was 2.5 years (December 31, 2024: 1.9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Black-Scholes model and inputs below were used in determining the weighted average values of the warrants and broker warrants.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 Private Placement</w:t>
            </w:r>
          </w:p>
        </w:tc>
        <w:tc>
          <w:tcPr>
            <w:tcW w:w="3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2025 Warrants</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gridSpan w:val="2"/>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Remeasurement at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Remeasurement at period end</w:t>
            </w: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period end</w:t>
            </w: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Initial recognition</w:t>
            </w:r>
          </w:p>
        </w:tc>
        <w:tc>
          <w:tcPr>
            <w:tcW w:w="0" w:type="dxa"/>
            <w:vAlign w:val="bottom"/>
          </w:tcPr>
          <w:p>
            <w:pPr>
              <w:spacing w:after="0"/>
              <w:rPr>
                <w:sz w:val="1"/>
                <w:szCs w:val="1"/>
                <w:color w:val="auto"/>
              </w:rPr>
            </w:pPr>
          </w:p>
        </w:tc>
      </w:tr>
      <w:tr>
        <w:trPr>
          <w:trHeight w:val="191"/>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3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380" w:type="dxa"/>
            <w:vAlign w:val="bottom"/>
            <w:gridSpan w:val="2"/>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320" w:type="dxa"/>
            <w:vAlign w:val="bottom"/>
          </w:tcPr>
          <w:p>
            <w:pPr>
              <w:spacing w:after="0"/>
              <w:rPr>
                <w:sz w:val="16"/>
                <w:szCs w:val="16"/>
                <w:color w:val="auto"/>
              </w:rPr>
            </w:pPr>
          </w:p>
        </w:tc>
        <w:tc>
          <w:tcPr>
            <w:tcW w:w="14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10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1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1.40</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4.75</w:t>
            </w:r>
          </w:p>
        </w:tc>
        <w:tc>
          <w:tcPr>
            <w:tcW w:w="106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1.13</w:t>
            </w:r>
          </w:p>
        </w:tc>
        <w:tc>
          <w:tcPr>
            <w:tcW w:w="10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0.21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0.55</w:t>
            </w:r>
          </w:p>
        </w:tc>
        <w:tc>
          <w:tcPr>
            <w:tcW w:w="10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10,841,482</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10,841,482</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5,330,946</w:t>
            </w:r>
          </w:p>
        </w:tc>
        <w:tc>
          <w:tcPr>
            <w:tcW w:w="1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5,330,946</w:t>
            </w: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Refer to Note 21 for equity warrant details.</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  LONG-TERM DEBT</w:t>
            </w:r>
          </w:p>
        </w:tc>
        <w:tc>
          <w:tcPr>
            <w:tcW w:w="3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0"/>
        </w:trPr>
        <w:tc>
          <w:tcPr>
            <w:tcW w:w="6820" w:type="dxa"/>
            <w:vAlign w:val="bottom"/>
          </w:tcPr>
          <w:p>
            <w:pPr>
              <w:spacing w:after="0"/>
              <w:rPr>
                <w:sz w:val="24"/>
                <w:szCs w:val="24"/>
                <w:color w:val="auto"/>
              </w:rPr>
            </w:pPr>
          </w:p>
        </w:tc>
        <w:tc>
          <w:tcPr>
            <w:tcW w:w="3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8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68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financing</w:t>
            </w:r>
          </w:p>
        </w:tc>
        <w:tc>
          <w:tcPr>
            <w:tcW w:w="3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1,690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3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1,434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3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51,486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Unamortized transaction costs and warrants</w:t>
            </w:r>
          </w:p>
        </w:tc>
        <w:tc>
          <w:tcPr>
            <w:tcW w:w="3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transaction cost and warrants</w:t>
            </w:r>
          </w:p>
        </w:tc>
        <w:tc>
          <w:tcPr>
            <w:tcW w:w="3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51,580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3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50,999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tc>
        <w:tc>
          <w:tcPr>
            <w:tcW w:w="3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6820" w:type="dxa"/>
            <w:vAlign w:val="bottom"/>
          </w:tcPr>
          <w:p>
            <w:pPr>
              <w:spacing w:after="0"/>
              <w:rPr>
                <w:sz w:val="24"/>
                <w:szCs w:val="24"/>
                <w:color w:val="auto"/>
              </w:rPr>
            </w:pPr>
          </w:p>
        </w:tc>
        <w:tc>
          <w:tcPr>
            <w:tcW w:w="3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8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68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50,705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from business combination</w:t>
            </w:r>
          </w:p>
        </w:tc>
        <w:tc>
          <w:tcPr>
            <w:tcW w:w="3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880</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3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1,668</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and warrants</w:t>
            </w:r>
          </w:p>
        </w:tc>
        <w:tc>
          <w:tcPr>
            <w:tcW w:w="3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(3,427)</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transaction costs and warrants</w:t>
            </w:r>
          </w:p>
        </w:tc>
        <w:tc>
          <w:tcPr>
            <w:tcW w:w="3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397</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3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3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51,580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7"/>
        </w:trPr>
        <w:tc>
          <w:tcPr>
            <w:tcW w:w="107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 xml:space="preserve">LONG-TERM DEBT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signed a credit facility for up to $300,000 (the “Credit Facility”) with Macquarie.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Tranche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initial $50,000 was drawn (the ''Initial Tranche''), bearing interest at 8% per annum, with monthly payments and a term of two years. Interest for the first three months was paid in kind and added to the loan during the three and six months ended June 30, 2025. The payments shall be solely interest until the Initial Tranche maturity date, April 1 2027, at which time the principal debt of $50,000 and interest paid in kind will be payable in full. The effective interest rate of the Credit Facility as of June 30, 2025 was 16.8% after considering the minimum base return of 25%. The minimum base return can be reduced to 9% depending on when principal payments are made (i.e., before end of term). In connection with the Initial Tranche, Macquarie received 5,330,946 warrants convertible for common shares of the Company with an initial fair value of $2,900 recognized as warrant liabilities. Refer to Note 18 for more details. As the $50,000 proceeds from the Initial Tranche was first allocated to the warrant liabilities based on their fair value, the residual amount of $47,100 was allocated to the debt. Therefore, a discount on debt of $2,900 is deducted from the carrying amount of the debt and is amortized over the Initial Tranche.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Tranche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2025, an additional $250,000 (“Second Tranche”) will be made available to the Company if and as it achieves specific development milestones at the Panther Creek, Pennsylvania, United States location and contributes $50,000 in kind or in cash to Macquarie as collateral. Under the Credit Facility agreement, Macquarie will receive additional warrants from the Company equivalent to 10% of the amount drawn up to $125,000.</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entirety of the loan will become secured at the project level resulting in the termination of the Initial Tranche and the transformation into project debt facility of $300,000, which will be subject to new terms and restrictions.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 costs of $3,161 relating to agent fees and legal fees were capitalized. The Company prorated the transaction costs between the Initial and Second Tranche, allocating $527 and $2,634 to each, respectively. The transaction costs allocated to the Initial Tranche were deducted from the carrying value of the debt and the transaction costs allocated to the Second Tranche were capitalized to Long-term deposits and equipment prepayments which will begin amortization once the Second Tranche is drawn.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restrictions under the Initial Tranche</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Credit Facility for the Initial Tranche includes various financial and non-financial covenants for the Company and its subsidiaries including restrictions on dispositions, dividends, the incurrence of debt and liens, material changes in the nature of its business, related party transactions and investments. The Company is also required to maintain a restricted cash balance of $25,000 in a designated account for the Initial Tranche.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31, 2025, the most recently completed calendar month, the Company was in compliance with the covenants of its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20:</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tc>
        <w:tc>
          <w:tcPr>
            <w:tcW w:w="2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9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tax (expense) recovery:</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4120" w:type="dxa"/>
            <w:vAlign w:val="bottom"/>
          </w:tcPr>
          <w:p>
            <w:pPr>
              <w:spacing w:after="0"/>
              <w:rPr>
                <w:sz w:val="18"/>
                <w:szCs w:val="18"/>
                <w:color w:val="auto"/>
              </w:rPr>
            </w:pPr>
          </w:p>
        </w:tc>
        <w:tc>
          <w:tcPr>
            <w:tcW w:w="25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319</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(444)</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41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262</w:t>
            </w: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r>
      <w:tr>
        <w:trPr>
          <w:trHeight w:val="209"/>
        </w:trPr>
        <w:tc>
          <w:tcPr>
            <w:tcW w:w="9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319</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262</w:t>
            </w:r>
          </w:p>
        </w:tc>
        <w:tc>
          <w:tcPr>
            <w:tcW w:w="15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(444)</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r>
      <w:tr>
        <w:trPr>
          <w:trHeight w:val="209"/>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recovery (expense):</w:t>
            </w:r>
          </w:p>
        </w:tc>
        <w:tc>
          <w:tcPr>
            <w:tcW w:w="2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4120" w:type="dxa"/>
            <w:vAlign w:val="bottom"/>
            <w:shd w:val="clear" w:color="auto" w:fill="CCEEFF"/>
          </w:tcPr>
          <w:p>
            <w:pPr>
              <w:spacing w:after="0"/>
              <w:rPr>
                <w:sz w:val="18"/>
                <w:szCs w:val="18"/>
                <w:color w:val="auto"/>
              </w:rPr>
            </w:pPr>
          </w:p>
        </w:tc>
        <w:tc>
          <w:tcPr>
            <w:tcW w:w="25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8,320</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(1,966)</w:t>
            </w:r>
          </w:p>
        </w:tc>
        <w:tc>
          <w:tcPr>
            <w:tcW w:w="15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3,457</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4,319</w:t>
            </w:r>
          </w:p>
        </w:tc>
      </w:tr>
      <w:tr>
        <w:trPr>
          <w:trHeight w:val="216"/>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4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40" w:type="dxa"/>
            <w:vAlign w:val="bottom"/>
            <w:tcBorders>
              <w:bottom w:val="single" w:sz="8" w:color="auto"/>
            </w:tcBorders>
            <w:shd w:val="clear" w:color="auto" w:fill="CCEEFF"/>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8,320</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(1,966)</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3,457</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4,319</w:t>
            </w:r>
          </w:p>
        </w:tc>
      </w:tr>
      <w:tr>
        <w:trPr>
          <w:trHeight w:val="210"/>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tax (expense) recovery</w:t>
            </w:r>
          </w:p>
        </w:tc>
        <w:tc>
          <w:tcPr>
            <w:tcW w:w="2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8,639</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(1,704)</w:t>
            </w: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3,013</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4,581</w:t>
            </w:r>
          </w:p>
        </w:tc>
      </w:tr>
      <w:tr>
        <w:trPr>
          <w:trHeight w:val="425"/>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21:</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2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and are fully paid which are as follows:</w:t>
      </w:r>
    </w:p>
    <w:p>
      <w:pPr>
        <w:spacing w:after="0" w:line="20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Borders>
              <w:top w:val="single" w:sz="8" w:color="auto"/>
              <w:bottom w:val="single" w:sz="8" w:color="auto"/>
            </w:tcBorders>
          </w:tcPr>
          <w:p>
            <w:pPr>
              <w:ind w:left="78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4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479,332,885</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334,153,330</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Issuance through at-the market equity offering program</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14,444,643</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84,196,144</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through business combination</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59,866,609</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13,900</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2,289,148</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share awards</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1,543,320</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 liabilities</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5,111,111</w:t>
            </w:r>
          </w:p>
        </w:tc>
      </w:tr>
      <w:tr>
        <w:trPr>
          <w:trHeight w:val="216"/>
        </w:trPr>
        <w:tc>
          <w:tcPr>
            <w:tcW w:w="8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2,347,500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June 30,</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557,548,857</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425,874,733</w:t>
            </w:r>
          </w:p>
        </w:tc>
      </w:tr>
    </w:tbl>
    <w:p>
      <w:pPr>
        <w:spacing w:after="0" w:line="19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 (“ATM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commenced an ATM Program on March 11, 2024 (the “2024 ATM Program”), pursuant to which the Company may, at its discretion and from time-to-time, sell common shares of the Company, resulting in the Company receiving aggregate gross proceeds of up to $375,000. During the six months ended June 30, 2025, the Company issued 14,444,643 common shares in exchange for gross proceeds of $24,386 at an average share price of approximately $1.69. The Company received net proceeds of $23,608 after paying commissions of $732 to the sales agent and $46 in other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14, 2025, the Company issued 12,893,650 warrants at an average exercise price of $1.30 as part of the consideration paid to acquire Stronghold. The total value was $11,477 using the Black-Scholes valuation model. Refer to Note 5. The warrants are convertible for a fixed number of common shares of the Company, which are classified as equity instruments.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Black-Scholes model and weighted average inputs below were used in determining the values of the warrants at initial recognition: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5040" w:type="dxa"/>
            <w:vAlign w:val="bottom"/>
            <w:tcBorders>
              <w:top w:val="single" w:sz="8" w:color="auto"/>
              <w:bottom w:val="single" w:sz="8" w:color="auto"/>
            </w:tcBorders>
            <w:gridSpan w:val="2"/>
          </w:tcPr>
          <w:p>
            <w:pPr>
              <w:ind w:left="3700"/>
              <w:spacing w:after="0"/>
              <w:rPr>
                <w:sz w:val="20"/>
                <w:szCs w:val="20"/>
                <w:color w:val="auto"/>
              </w:rPr>
            </w:pPr>
            <w:r>
              <w:rPr>
                <w:rFonts w:ascii="Times New Roman" w:cs="Times New Roman" w:eastAsia="Times New Roman" w:hAnsi="Times New Roman"/>
                <w:sz w:val="18"/>
                <w:szCs w:val="18"/>
                <w:b w:val="1"/>
                <w:bCs w:val="1"/>
                <w:color w:val="auto"/>
              </w:rPr>
              <w:t>March 14, 2025</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45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4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45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450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4500" w:type="dxa"/>
            <w:vAlign w:val="bottom"/>
            <w:tcBorders>
              <w:right w:val="single" w:sz="8" w:color="CCEEFF"/>
            </w:tcBorders>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450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4500" w:type="dxa"/>
            <w:vAlign w:val="bottom"/>
            <w:tcBorders>
              <w:right w:val="single" w:sz="8" w:color="CCEEFF"/>
            </w:tcBorders>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0.89</w:t>
            </w:r>
          </w:p>
        </w:tc>
      </w:tr>
      <w:tr>
        <w:trPr>
          <w:trHeight w:val="22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issued</w:t>
            </w:r>
          </w:p>
        </w:tc>
        <w:tc>
          <w:tcPr>
            <w:tcW w:w="50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12,893,650</w:t>
            </w:r>
          </w:p>
        </w:tc>
      </w:tr>
      <w:tr>
        <w:trPr>
          <w:trHeight w:val="439"/>
        </w:trPr>
        <w:tc>
          <w:tcPr>
            <w:tcW w:w="62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43"/>
        </w:trPr>
        <w:tc>
          <w:tcPr>
            <w:tcW w:w="6200" w:type="dxa"/>
            <w:vAlign w:val="bottom"/>
          </w:tcPr>
          <w:p>
            <w:pPr>
              <w:spacing w:after="0"/>
              <w:rPr>
                <w:sz w:val="21"/>
                <w:szCs w:val="21"/>
                <w:color w:val="auto"/>
              </w:rPr>
            </w:pPr>
          </w:p>
        </w:tc>
        <w:tc>
          <w:tcPr>
            <w:tcW w:w="4500" w:type="dxa"/>
            <w:vAlign w:val="bottom"/>
            <w:tcBorders>
              <w:right w:val="single" w:sz="8" w:color="auto"/>
            </w:tcBorders>
          </w:tcPr>
          <w:p>
            <w:pPr>
              <w:ind w:left="4240"/>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6200" w:type="dxa"/>
            <w:vAlign w:val="bottom"/>
          </w:tcPr>
          <w:p>
            <w:pPr>
              <w:spacing w:after="0"/>
              <w:rPr>
                <w:sz w:val="2"/>
                <w:szCs w:val="2"/>
                <w:color w:val="auto"/>
              </w:rPr>
            </w:pPr>
          </w:p>
        </w:tc>
        <w:tc>
          <w:tcPr>
            <w:tcW w:w="45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Measurement categories and fair value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9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7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Level 1</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85,439</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59,542</w:t>
            </w: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Level 1</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7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Level 3</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3,942</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Level 3</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1,720</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for energy</w:t>
            </w:r>
          </w:p>
        </w:tc>
        <w:tc>
          <w:tcPr>
            <w:tcW w:w="27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Level 2</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5,080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7,740</w:t>
            </w: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Hosting Deposits</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Level 2</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14,216</w:t>
            </w: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refundable deposits</w:t>
            </w:r>
          </w:p>
        </w:tc>
        <w:tc>
          <w:tcPr>
            <w:tcW w:w="27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Level 3</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350</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 from disposal of business</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Level 3</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15,087</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Level 2</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15,374</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r>
      <w:tr>
        <w:trPr>
          <w:trHeight w:val="216"/>
        </w:trPr>
        <w:tc>
          <w:tcPr>
            <w:tcW w:w="59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assets</w:t>
            </w:r>
          </w:p>
        </w:tc>
        <w:tc>
          <w:tcPr>
            <w:tcW w:w="2740" w:type="dxa"/>
            <w:vAlign w:val="bottom"/>
            <w:tcBorders>
              <w:bottom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Level 3</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331</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152,323</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87,562</w:t>
            </w:r>
          </w:p>
        </w:tc>
      </w:tr>
      <w:tr>
        <w:trPr>
          <w:trHeight w:val="210"/>
        </w:trPr>
        <w:tc>
          <w:tcPr>
            <w:tcW w:w="59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7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Level 3</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38,096</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22,158</w:t>
            </w: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obligations</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Level 3</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18,396</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7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Level 2</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51,580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5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Level 2</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13,082</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9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740" w:type="dxa"/>
            <w:vAlign w:val="bottom"/>
            <w:tcBorders>
              <w:bottom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Level 2</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5,151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r>
        <w:trPr>
          <w:trHeight w:val="210"/>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126,305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31,875</w:t>
            </w:r>
          </w:p>
        </w:tc>
      </w:tr>
      <w:tr>
        <w:trPr>
          <w:trHeight w:val="217"/>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carrying amount and fair value</w:t>
            </w:r>
          </w:p>
        </w:tc>
        <w:tc>
          <w:tcPr>
            <w:tcW w:w="2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26,018</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55,687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restricted cash, trade receivables, other receivables, security deposits for energy, Refundable Hosting Deposits, other refundable deposits, receivable from disposal of business, trade payables and accrued liabilities and redemption obligations presented in the table above are a reasonable approximation of their fair value due to their short-term maturity or they are valued using the income approach 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36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 liabilities related to the 2023 Private Placements and the 2025 Warrants are classified as financial liabilities at fair value through profit or loss with the change in fair value recorded to Net financial income (expenses). The fair value measurement is categorized as Level 2 in the fair value hierarchy, is a recurring measurement and is calculated using a Black-Scholes pricing model at each reporting date. Refer to Note 18 for more details.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fair value of derivatives is categorized as Level 2 in the fair value hierarchy and is presented under derivative assets and liabilities in the consolidated statements of financial position. Their fair values are a recurring measurement. Refer to Note 10 for more details.</w:t>
      </w:r>
    </w:p>
    <w:p>
      <w:pPr>
        <w:spacing w:after="0" w:line="17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BTC option and selling contracts (derivatives)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tab/>
        <w:t>BTC Redemption Options (embedded derivatives)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purchase order agreements explained in Note 10 provide the Company with the option to redeem the BTC Pledged at a market price determined when the BTC was first pledged (“Agreed BTC Price”). The right to redeem the BTC Pledged meets the definition of an embedded derivative as the derivative that is embedded in the non-financial contract is not closely related to the host contract. Its fair value is determined using a combination of the Monte Carlo simulation model to simulate the future price of BTC using probability factors and the Black-Scholes Model to estimate the value of each BTC Redemption Option. At each reporting date, the fair value is determined by multiplying the number of redeemable BTC pledged by the present value of the difference between the Agreed BTC Price and the simulated spot price of BTC while considering the likelihood of exercising the quarterly installments with the change in fair value recorded to Net financial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Refundable deposits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refundable deposits are measured at amortized cost using the effective interest rate (“EIR”) method and are classified as Level 2 according to the Company’s fair value hierarchy. Their fair values are a recurring measurement. The valuation technique used is the income approach (discounted future cash flows). Refer to Note 15 for more details.</w:t>
      </w:r>
    </w:p>
    <w:p>
      <w:pPr>
        <w:spacing w:after="0" w:line="18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Refundable Hosting Deposits</w:t>
      </w:r>
    </w:p>
    <w:p>
      <w:pPr>
        <w:spacing w:after="0" w:line="29" w:lineRule="exact"/>
        <w:rPr>
          <w:sz w:val="20"/>
          <w:szCs w:val="20"/>
          <w:color w:val="auto"/>
        </w:rPr>
      </w:pPr>
    </w:p>
    <w:p>
      <w:pPr>
        <w:jc w:val="both"/>
        <w:ind w:left="20" w:right="20" w:hanging="4"/>
        <w:spacing w:after="0" w:line="255" w:lineRule="auto"/>
        <w:rPr>
          <w:sz w:val="20"/>
          <w:szCs w:val="20"/>
          <w:color w:val="auto"/>
        </w:rPr>
      </w:pPr>
      <w:r>
        <w:rPr>
          <w:rFonts w:ascii="Times New Roman" w:cs="Times New Roman" w:eastAsia="Times New Roman" w:hAnsi="Times New Roman"/>
          <w:sz w:val="18"/>
          <w:szCs w:val="18"/>
          <w:color w:val="auto"/>
        </w:rPr>
        <w:t>The Refundable Hosting Deposits are accounted for as financial assets and recorded at fair value on initial recognition based on the contractual right to receive only each refundable hosting deposit plus interest at the end of the term. Following the acquisition of Stronghold on March 14, 2025, the Panther Creek and the Scrubgrass Hosting Agreements were terminated, settling the Refundable Hosting Deposits.</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r>
      <w:r>
        <w:rPr>
          <w:sz w:val="20"/>
          <w:szCs w:val="20"/>
          <w:color w:val="auto"/>
        </w:rPr>
        <w:tab/>
      </w:r>
      <w:r>
        <w:rPr>
          <w:rFonts w:ascii="Times New Roman" w:cs="Times New Roman" w:eastAsia="Times New Roman" w:hAnsi="Times New Roman"/>
          <w:sz w:val="17"/>
          <w:szCs w:val="17"/>
          <w:i w:val="1"/>
          <w:iCs w:val="1"/>
          <w:color w:val="auto"/>
        </w:rPr>
        <w:t>Security deposits for energy</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Its EIR is 6% over an approximately three-year period. Following the disposal of the Yguazu Mining site, the deposits related to this project were derecognized.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details the movement in the refundable deposits: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Refundable</w:t>
            </w:r>
          </w:p>
        </w:tc>
        <w:tc>
          <w:tcPr>
            <w:tcW w:w="15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deposits for</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8"/>
        </w:trPr>
        <w:tc>
          <w:tcPr>
            <w:tcW w:w="29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Panther Creek</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Scrubgrass</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7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277</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7,800</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7,800</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15,600</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9,034</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24,634</w:t>
            </w:r>
          </w:p>
        </w:tc>
      </w:tr>
      <w:tr>
        <w:trPr>
          <w:trHeight w:val="216"/>
        </w:trPr>
        <w:tc>
          <w:tcPr>
            <w:tcW w:w="2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loss on recognition</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(675)</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(933)</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(1,571)</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10"/>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at initial recognition</w:t>
            </w:r>
          </w:p>
        </w:tc>
        <w:tc>
          <w:tcPr>
            <w:tcW w:w="1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7,125</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7,542</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14,667</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7,740</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22,407</w:t>
            </w:r>
          </w:p>
        </w:tc>
      </w:tr>
      <w:tr>
        <w:trPr>
          <w:trHeight w:val="21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261</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364</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ECLs</w:t>
            </w: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(409)</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(406)</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(815)</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0"/>
        </w:trPr>
        <w:tc>
          <w:tcPr>
            <w:tcW w:w="2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7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6,977</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7,239</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14,216</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7,740</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21,956</w:t>
            </w: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Addition from business combination</w:t>
            </w:r>
          </w:p>
        </w:tc>
        <w:tc>
          <w:tcPr>
            <w:tcW w:w="1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350</w:t>
            </w:r>
          </w:p>
        </w:tc>
        <w:tc>
          <w:tcPr>
            <w:tcW w:w="5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187</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126</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313</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149</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462</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w:t>
            </w:r>
          </w:p>
        </w:tc>
        <w:tc>
          <w:tcPr>
            <w:tcW w:w="1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603</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342</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945</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945</w:t>
            </w:r>
          </w:p>
        </w:tc>
      </w:tr>
      <w:tr>
        <w:trPr>
          <w:trHeight w:val="216"/>
        </w:trPr>
        <w:tc>
          <w:tcPr>
            <w:tcW w:w="2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(7,767)</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(7,707)</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(15,474)</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(2,809)</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(18,283)</w:t>
            </w:r>
          </w:p>
        </w:tc>
      </w:tr>
      <w:tr>
        <w:trPr>
          <w:trHeight w:val="216"/>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5,080</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350</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5,430</w:t>
            </w:r>
          </w:p>
        </w:tc>
      </w:tr>
      <w:tr>
        <w:trPr>
          <w:trHeight w:val="439"/>
        </w:trPr>
        <w:tc>
          <w:tcPr>
            <w:tcW w:w="2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43"/>
        </w:trPr>
        <w:tc>
          <w:tcPr>
            <w:tcW w:w="29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right w:val="single" w:sz="8" w:color="auto"/>
            </w:tcBorders>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2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and 2024, potentially dilutive securities have not been included in the calculation of diluted loss per share because their effect is anti-dilutive. The additional potentially dilutive securities that would have been included in the calculation of diluted earnings per share, had their effect not been anti-dilutive for the three and six months ended June 30, 2025, would have totaled 4,725,798 and 5,426,705, respectively (three and six months ended June 30, 2024: 11,280,000 and 13,474,000).</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share-based payment expense related to stock options (“Options”) and restricted stock units (“RSU”) for employees, directors, consultants and former employees received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80" w:type="dxa"/>
            <w:vAlign w:val="bottom"/>
          </w:tcPr>
          <w:p>
            <w:pPr>
              <w:spacing w:after="0"/>
              <w:rPr>
                <w:sz w:val="18"/>
                <w:szCs w:val="18"/>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r>
      <w:tr>
        <w:trPr>
          <w:trHeight w:val="209"/>
        </w:trPr>
        <w:tc>
          <w:tcPr>
            <w:tcW w:w="47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7"/>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332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3,615</w:t>
            </w: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1,675</w:t>
            </w:r>
          </w:p>
        </w:tc>
        <w:tc>
          <w:tcPr>
            <w:tcW w:w="180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8,052</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2025, the Board approved Options grants to purchase 2,536,227 common shares in accordance with the Long-Term Incentive Plan (the “LTIP Plan”) adopted on May 18, 2021 (six months ended June 30, 2024: 330,000 common shares). All Options issued according to the LTIP Plan become exercisable when they vest and can be exercised for a maximum period of 5 years from the date of the grant. As part of the options granted during the six months ended June 30, 2025, the Company granted 302 Options to certain employees of Stronghold as part of the business combination described in Note 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40" w:type="dxa"/>
            <w:vAlign w:val="bottom"/>
            <w:tcBorders>
              <w:bottom w:val="single" w:sz="8" w:color="auto"/>
            </w:tcBorders>
          </w:tcPr>
          <w:p>
            <w:pPr>
              <w:spacing w:after="0"/>
              <w:rPr>
                <w:sz w:val="20"/>
                <w:szCs w:val="20"/>
                <w:color w:val="auto"/>
              </w:rPr>
            </w:pPr>
          </w:p>
        </w:tc>
      </w:tr>
      <w:tr>
        <w:trPr>
          <w:trHeight w:val="210"/>
        </w:trPr>
        <w:tc>
          <w:tcPr>
            <w:tcW w:w="39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39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6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tcPr>
          <w:p>
            <w:pPr>
              <w:spacing w:after="0"/>
              <w:rPr>
                <w:sz w:val="16"/>
                <w:szCs w:val="16"/>
                <w:color w:val="auto"/>
              </w:rPr>
            </w:pPr>
          </w:p>
        </w:tc>
        <w:tc>
          <w:tcPr>
            <w:tcW w:w="144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3900" w:type="dxa"/>
            <w:vAlign w:val="bottom"/>
          </w:tcPr>
          <w:p>
            <w:pPr>
              <w:spacing w:after="0"/>
              <w:rPr>
                <w:sz w:val="18"/>
                <w:szCs w:val="18"/>
                <w:color w:val="auto"/>
              </w:rPr>
            </w:pPr>
          </w:p>
        </w:tc>
        <w:tc>
          <w:tcPr>
            <w:tcW w:w="3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Exercise</w:t>
            </w:r>
          </w:p>
        </w:tc>
      </w:tr>
      <w:tr>
        <w:trPr>
          <w:trHeight w:val="238"/>
        </w:trPr>
        <w:tc>
          <w:tcPr>
            <w:tcW w:w="39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Price ($CAD)</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Options</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($CAD)</w:t>
            </w:r>
          </w:p>
        </w:tc>
      </w:tr>
      <w:tr>
        <w:trPr>
          <w:trHeight w:val="210"/>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3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26,865,764</w:t>
            </w: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2.64</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20,939,387</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2,536,227</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1.40</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330,000</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(13,900)</w:t>
            </w:r>
          </w:p>
        </w:tc>
        <w:tc>
          <w:tcPr>
            <w:tcW w:w="1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0.55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(2,289,148)</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(60,000)</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(55,000)</w:t>
            </w: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r>
      <w:tr>
        <w:trPr>
          <w:trHeight w:val="209"/>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June 30,</w:t>
            </w:r>
          </w:p>
        </w:tc>
        <w:tc>
          <w:tcPr>
            <w:tcW w:w="3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29,273,091</w:t>
            </w: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2.53</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18,580,239</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17"/>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June 30,</w:t>
            </w:r>
          </w:p>
        </w:tc>
        <w:tc>
          <w:tcPr>
            <w:tcW w:w="3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2,100,000</w:t>
            </w: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0.54</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10,230,000</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outstanding Options as of June 30, 2025 was 3.3 years (June 30, 2024: 3.7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 xml:space="preserve">SHARE-BASED PAYMENTS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inputs used to value the stock option grants using the Black-Scholes model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January 10,</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April 3,</w:t>
            </w:r>
          </w:p>
        </w:tc>
      </w:tr>
      <w:tr>
        <w:trPr>
          <w:trHeight w:val="238"/>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0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0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0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0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304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304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30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540,000</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1,996,227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RSUs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60" w:type="dxa"/>
            <w:vAlign w:val="bottom"/>
            <w:tcBorders>
              <w:bottom w:val="single" w:sz="8" w:color="auto"/>
            </w:tcBorders>
          </w:tcPr>
          <w:p>
            <w:pPr>
              <w:spacing w:after="0"/>
              <w:rPr>
                <w:sz w:val="20"/>
                <w:szCs w:val="20"/>
                <w:color w:val="auto"/>
              </w:rPr>
            </w:pPr>
          </w:p>
        </w:tc>
      </w:tr>
      <w:tr>
        <w:trPr>
          <w:trHeight w:val="209"/>
        </w:trPr>
        <w:tc>
          <w:tcPr>
            <w:tcW w:w="39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39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9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140" w:type="dxa"/>
            <w:vAlign w:val="bottom"/>
          </w:tcPr>
          <w:p>
            <w:pPr>
              <w:spacing w:after="0"/>
              <w:rPr>
                <w:sz w:val="16"/>
                <w:szCs w:val="16"/>
                <w:color w:val="auto"/>
              </w:rPr>
            </w:pPr>
          </w:p>
        </w:tc>
        <w:tc>
          <w:tcPr>
            <w:tcW w:w="12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3900" w:type="dxa"/>
            <w:vAlign w:val="bottom"/>
          </w:tcPr>
          <w:p>
            <w:pPr>
              <w:spacing w:after="0"/>
              <w:rPr>
                <w:sz w:val="18"/>
                <w:szCs w:val="18"/>
                <w:color w:val="auto"/>
              </w:rPr>
            </w:pPr>
          </w:p>
        </w:tc>
        <w:tc>
          <w:tcPr>
            <w:tcW w:w="2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Average Grant Price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Number</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Grant</w:t>
            </w:r>
          </w:p>
        </w:tc>
      </w:tr>
      <w:tr>
        <w:trPr>
          <w:trHeight w:val="238"/>
        </w:trPr>
        <w:tc>
          <w:tcPr>
            <w:tcW w:w="39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of RSUs</w:t>
            </w:r>
          </w:p>
        </w:tc>
        <w:tc>
          <w:tcPr>
            <w:tcW w:w="1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($CAD)</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of RSUs</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($CAD)</w:t>
            </w:r>
          </w:p>
        </w:tc>
      </w:tr>
      <w:tr>
        <w:trPr>
          <w:trHeight w:val="210"/>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897,666</w:t>
            </w:r>
          </w:p>
        </w:tc>
        <w:tc>
          <w:tcPr>
            <w:tcW w:w="1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3.61</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624,998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2,783,425</w:t>
            </w: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1.43</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175,000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(2,347,500)</w:t>
            </w:r>
          </w:p>
        </w:tc>
        <w:tc>
          <w:tcPr>
            <w:tcW w:w="1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2.15</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(125,000)</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(10,500)</w:t>
            </w:r>
          </w:p>
        </w:tc>
        <w:tc>
          <w:tcPr>
            <w:tcW w:w="1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1.59</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June 30,</w:t>
            </w:r>
          </w:p>
        </w:tc>
        <w:tc>
          <w:tcPr>
            <w:tcW w:w="2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1,323,091</w:t>
            </w:r>
          </w:p>
        </w:tc>
        <w:tc>
          <w:tcPr>
            <w:tcW w:w="1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1.63</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674,998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bl>
    <w:p>
      <w:pPr>
        <w:spacing w:after="0" w:line="198"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1,890,000 RSUs to certain employees and executive Management of Stronghold as part of the business combination described in Note 5. 1,631,700 RSUs were fully vested upon grant and 258,300 RSUs vest approximately 17% every 3 months. In addition, the Company granted 893,425 RSUs to the independent directors of the Board. These RSUs fully vest in 9 months. The fair value of the RSUs is based on the Company’s share price at the date of grant.</w:t>
      </w:r>
    </w:p>
    <w:p>
      <w:pPr>
        <w:spacing w:after="0" w:line="180"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Board approved the grant of 175,000 RSUs to certain members of senior Management which vest 50% approximately one month from the grant date and an additional 25% every 6 months.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 awards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2025, following the Stronghold transaction, the Company entered into a stock award agreement as well as a consulting agreement with a former executive of Stronghold and granted 1,543,320 share awards. The share awards shall fully vest in September 2025, subject to continued provision of services through this date. Notwithstanding the forgoing, the share awards can be accelerated and fully vested if certain conditions are met. In April 2025, the conditions were met and the share awards were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25:</w:t>
      </w:r>
      <w:r>
        <w:rPr>
          <w:sz w:val="20"/>
          <w:szCs w:val="20"/>
          <w:color w:val="auto"/>
        </w:rPr>
        <w:tab/>
      </w:r>
      <w:r>
        <w:rPr>
          <w:rFonts w:ascii="Times New Roman" w:cs="Times New Roman" w:eastAsia="Times New Roman" w:hAnsi="Times New Roman"/>
          <w:sz w:val="17"/>
          <w:szCs w:val="17"/>
          <w:b w:val="1"/>
          <w:bCs w:val="1"/>
          <w:color w:val="auto"/>
        </w:rPr>
        <w:t>ADDITIONAL DETAILS TO THE STATEMENT OF PROFIT OR LOSS AND COMPREHENSIVE PROFIT OR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4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1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71,292</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40,383</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136,155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89,806</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144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2,553</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3,124</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services</w:t>
            </w:r>
          </w:p>
        </w:tc>
        <w:tc>
          <w:tcPr>
            <w:tcW w:w="1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1,006</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1,165</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2,100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2,059</w:t>
            </w:r>
          </w:p>
        </w:tc>
      </w:tr>
      <w:tr>
        <w:trPr>
          <w:trHeight w:val="216"/>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Energy sales</w:t>
            </w:r>
          </w:p>
        </w:tc>
        <w:tc>
          <w:tcPr>
            <w:tcW w:w="1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2,949</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3,269</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5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41,548</w:t>
            </w:r>
          </w:p>
        </w:tc>
        <w:tc>
          <w:tcPr>
            <w:tcW w:w="1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91,865</w:t>
            </w:r>
          </w:p>
        </w:tc>
      </w:tr>
      <w:tr>
        <w:trPr>
          <w:trHeight w:val="432"/>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4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 b</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(30,108)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(19,461)</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(55,516)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(38,808)</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energy</w:t>
            </w:r>
          </w:p>
        </w:tc>
        <w:tc>
          <w:tcPr>
            <w:tcW w:w="144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17,017</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17,017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(37,008)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(57,337)</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(66,701)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44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8,760</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expenses</w:t>
            </w:r>
          </w:p>
        </w:tc>
        <w:tc>
          <w:tcPr>
            <w:tcW w:w="1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(7,735)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144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(15,334)</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(929)</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(19,011)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16"/>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(830)</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(873)</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(1,707)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17"/>
        </w:trPr>
        <w:tc>
          <w:tcPr>
            <w:tcW w:w="4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(83,280)</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(52,823)</w:t>
            </w: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(113,822)</w:t>
            </w:r>
          </w:p>
        </w:tc>
      </w:tr>
    </w:tbl>
    <w:p>
      <w:pPr>
        <w:spacing w:after="0" w:line="19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2025, the cost of electrical component inventory and waste, limestone and fuel oil recognized as an expense and included in cost of revenues was $15,150 and $15,828, respectively (three and six months ended June 30, 2024: $25,286 and $25,881, respectively).</w:t>
      </w:r>
    </w:p>
    <w:p>
      <w:pPr>
        <w:spacing w:after="0" w:line="18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Energy costs are net of RECs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For the three and six months ended June 30, 2025, the RECs amounted to $6,540 (three and six months ended June 30, 2024: nil), which offset energy expenses in the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25:</w:t>
      </w:r>
      <w:r>
        <w:rPr>
          <w:sz w:val="20"/>
          <w:szCs w:val="20"/>
          <w:color w:val="auto"/>
        </w:rPr>
        <w:tab/>
      </w:r>
      <w:r>
        <w:rPr>
          <w:rFonts w:ascii="Times New Roman" w:cs="Times New Roman" w:eastAsia="Times New Roman" w:hAnsi="Times New Roman"/>
          <w:sz w:val="17"/>
          <w:szCs w:val="17"/>
          <w:b w:val="1"/>
          <w:bCs w:val="1"/>
          <w:color w:val="auto"/>
        </w:rPr>
        <w:t xml:space="preserve">ADDITIONAL DETAILS TO THE STATEMENT OF PROFIT OR LOSS AND COMPREHENSIVE PROFIT OR LOSS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4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10"/>
        </w:trPr>
        <w:tc>
          <w:tcPr>
            <w:tcW w:w="4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0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(8,107)</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(4,032)</w:t>
            </w:r>
          </w:p>
        </w:tc>
        <w:tc>
          <w:tcPr>
            <w:tcW w:w="1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(14,277)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(3,615)</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(1,675)</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(8,052)</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(4,769)</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(4,291)</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(5,695)</w:t>
            </w:r>
          </w:p>
        </w:tc>
        <w:tc>
          <w:tcPr>
            <w:tcW w:w="1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(9,978)</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1020" w:type="dxa"/>
            <w:vAlign w:val="bottom"/>
          </w:tcPr>
          <w:p>
            <w:pPr>
              <w:spacing w:after="0"/>
              <w:rPr>
                <w:sz w:val="18"/>
                <w:szCs w:val="18"/>
                <w:color w:val="auto"/>
              </w:rPr>
            </w:pPr>
          </w:p>
        </w:tc>
        <w:tc>
          <w:tcPr>
            <w:tcW w:w="17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1,389</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0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(3,441)</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(2,436)</w:t>
            </w:r>
          </w:p>
        </w:tc>
        <w:tc>
          <w:tcPr>
            <w:tcW w:w="1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(6,545)</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020" w:type="dxa"/>
            <w:vAlign w:val="bottom"/>
          </w:tcPr>
          <w:p>
            <w:pPr>
              <w:spacing w:after="0"/>
              <w:rPr>
                <w:sz w:val="18"/>
                <w:szCs w:val="18"/>
                <w:color w:val="auto"/>
              </w:rPr>
            </w:pP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(730)</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(466)</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(1,200)</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 hosting and telecommunications</w:t>
            </w:r>
          </w:p>
        </w:tc>
        <w:tc>
          <w:tcPr>
            <w:tcW w:w="10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(147)</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1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(334)</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020" w:type="dxa"/>
            <w:vAlign w:val="bottom"/>
          </w:tcPr>
          <w:p>
            <w:pPr>
              <w:spacing w:after="0"/>
              <w:rPr>
                <w:sz w:val="18"/>
                <w:szCs w:val="18"/>
                <w:color w:val="auto"/>
              </w:rPr>
            </w:pP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(1,092)</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(1,210)</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4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other general and administrative expenses</w:t>
            </w:r>
          </w:p>
        </w:tc>
        <w:tc>
          <w:tcPr>
            <w:tcW w:w="10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753</w:t>
            </w:r>
          </w:p>
        </w:tc>
        <w:tc>
          <w:tcPr>
            <w:tcW w:w="16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r>
      <w:tr>
        <w:trPr>
          <w:trHeight w:val="217"/>
        </w:trPr>
        <w:tc>
          <w:tcPr>
            <w:tcW w:w="4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(21,423)</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(12,402)</w:t>
            </w:r>
          </w:p>
        </w:tc>
        <w:tc>
          <w:tcPr>
            <w:tcW w:w="1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(41,596)</w:t>
            </w: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(25,598)</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income (expenses)</w:t>
            </w: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0"/>
        </w:trPr>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9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8"/>
        </w:trPr>
        <w:tc>
          <w:tcPr>
            <w:tcW w:w="4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10"/>
        </w:trPr>
        <w:tc>
          <w:tcPr>
            <w:tcW w:w="4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revaluation of warrants</w:t>
            </w:r>
          </w:p>
        </w:tc>
        <w:tc>
          <w:tcPr>
            <w:tcW w:w="10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145</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(1,455)</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5,763</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derivative assets and liabilities</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17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3,740</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(2,135)</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Refundable Hosting Deposits</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15, 22</w:t>
            </w:r>
          </w:p>
        </w:tc>
        <w:tc>
          <w:tcPr>
            <w:tcW w:w="1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945</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020" w:type="dxa"/>
            <w:vAlign w:val="bottom"/>
          </w:tcPr>
          <w:p>
            <w:pPr>
              <w:spacing w:after="0"/>
              <w:rPr>
                <w:sz w:val="18"/>
                <w:szCs w:val="18"/>
                <w:color w:val="auto"/>
              </w:rPr>
            </w:pPr>
          </w:p>
        </w:tc>
        <w:tc>
          <w:tcPr>
            <w:tcW w:w="17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29</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413</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420</w:t>
            </w:r>
          </w:p>
        </w:tc>
        <w:tc>
          <w:tcPr>
            <w:tcW w:w="28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460</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2,042</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1,410</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2,722</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1020" w:type="dxa"/>
            <w:vAlign w:val="bottom"/>
          </w:tcPr>
          <w:p>
            <w:pPr>
              <w:spacing w:after="0"/>
              <w:rPr>
                <w:sz w:val="18"/>
                <w:szCs w:val="18"/>
                <w:color w:val="auto"/>
              </w:rPr>
            </w:pP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(2,150)</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(349)</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(2,795)</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10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(156)</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(943)</w:t>
            </w:r>
          </w:p>
        </w:tc>
        <w:tc>
          <w:tcPr>
            <w:tcW w:w="1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(319)</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10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75</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1,110</w:t>
            </w:r>
          </w:p>
        </w:tc>
        <w:tc>
          <w:tcPr>
            <w:tcW w:w="1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(1,197)</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r>
      <w:tr>
        <w:trPr>
          <w:trHeight w:val="217"/>
        </w:trPr>
        <w:tc>
          <w:tcPr>
            <w:tcW w:w="49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2,143</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(1,317)</w:t>
            </w:r>
          </w:p>
        </w:tc>
        <w:tc>
          <w:tcPr>
            <w:tcW w:w="16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4,253</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10,126</w:t>
            </w:r>
          </w:p>
        </w:tc>
      </w:tr>
      <w:tr>
        <w:trPr>
          <w:trHeight w:val="439"/>
        </w:trPr>
        <w:tc>
          <w:tcPr>
            <w:tcW w:w="4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43"/>
        </w:trPr>
        <w:tc>
          <w:tcPr>
            <w:tcW w:w="4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right w:val="single" w:sz="8" w:color="auto"/>
            </w:tcBorders>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26:</w:t>
      </w:r>
      <w:r>
        <w:rPr>
          <w:sz w:val="20"/>
          <w:szCs w:val="20"/>
          <w:color w:val="auto"/>
        </w:rPr>
        <w:tab/>
      </w:r>
      <w:r>
        <w:rPr>
          <w:rFonts w:ascii="Times New Roman" w:cs="Times New Roman" w:eastAsia="Times New Roman" w:hAnsi="Times New Roman"/>
          <w:sz w:val="17"/>
          <w:szCs w:val="17"/>
          <w:b w:val="1"/>
          <w:bCs w:val="1"/>
          <w:color w:val="auto"/>
        </w:rPr>
        <w:t>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one operating segment which meets the definition of a reportable segment, cryptocurrency Mining, which is the operation of data centers that support the validation and verification of transactions on the BTC blockchain, earning cryptocurrency for providing these services, as described in 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5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40" w:type="dxa"/>
            <w:vAlign w:val="bottom"/>
          </w:tcPr>
          <w:p>
            <w:pPr>
              <w:spacing w:after="0"/>
              <w:rPr>
                <w:sz w:val="18"/>
                <w:szCs w:val="18"/>
                <w:color w:val="auto"/>
              </w:rPr>
            </w:pPr>
          </w:p>
        </w:tc>
      </w:tr>
      <w:tr>
        <w:trPr>
          <w:trHeight w:val="238"/>
        </w:trPr>
        <w:tc>
          <w:tcPr>
            <w:tcW w:w="38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r>
      <w:tr>
        <w:trPr>
          <w:trHeight w:val="209"/>
        </w:trPr>
        <w:tc>
          <w:tcPr>
            <w:tcW w:w="38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39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28,929</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28,129</w:t>
            </w:r>
          </w:p>
        </w:tc>
        <w:tc>
          <w:tcPr>
            <w:tcW w:w="174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58,707</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60,267</w:t>
            </w:r>
          </w:p>
        </w:tc>
      </w:tr>
      <w:tr>
        <w:trPr>
          <w:trHeight w:val="216"/>
        </w:trPr>
        <w:tc>
          <w:tcPr>
            <w:tcW w:w="3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9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32,997</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3,296</w:t>
            </w:r>
          </w:p>
        </w:tc>
        <w:tc>
          <w:tcPr>
            <w:tcW w:w="17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51,098</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8,183</w:t>
            </w:r>
          </w:p>
        </w:tc>
      </w:tr>
      <w:tr>
        <w:trPr>
          <w:trHeight w:val="209"/>
        </w:trPr>
        <w:tc>
          <w:tcPr>
            <w:tcW w:w="3800" w:type="dxa"/>
            <w:vAlign w:val="bottom"/>
            <w:shd w:val="clear" w:color="auto" w:fill="CCEEFF"/>
          </w:tcPr>
          <w:p>
            <w:pPr>
              <w:spacing w:after="0"/>
              <w:rPr>
                <w:sz w:val="18"/>
                <w:szCs w:val="18"/>
                <w:color w:val="auto"/>
              </w:rPr>
            </w:pPr>
          </w:p>
        </w:tc>
        <w:tc>
          <w:tcPr>
            <w:tcW w:w="39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61,926</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31,425</w:t>
            </w:r>
          </w:p>
        </w:tc>
        <w:tc>
          <w:tcPr>
            <w:tcW w:w="174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109,805</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68,450</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39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12,217</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2,144</w:t>
            </w:r>
          </w:p>
        </w:tc>
        <w:tc>
          <w:tcPr>
            <w:tcW w:w="174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24,231</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3,860</w:t>
            </w:r>
          </w:p>
        </w:tc>
      </w:tr>
      <w:tr>
        <w:trPr>
          <w:trHeight w:val="216"/>
        </w:trPr>
        <w:tc>
          <w:tcPr>
            <w:tcW w:w="3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39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3,657</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7,979</w:t>
            </w:r>
          </w:p>
        </w:tc>
        <w:tc>
          <w:tcPr>
            <w:tcW w:w="17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10,612</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19,555</w:t>
            </w:r>
          </w:p>
        </w:tc>
      </w:tr>
      <w:tr>
        <w:trPr>
          <w:trHeight w:val="209"/>
        </w:trPr>
        <w:tc>
          <w:tcPr>
            <w:tcW w:w="3800" w:type="dxa"/>
            <w:vAlign w:val="bottom"/>
            <w:tcBorders>
              <w:bottom w:val="single" w:sz="8" w:color="auto"/>
            </w:tcBorders>
            <w:shd w:val="clear" w:color="auto" w:fill="CCEEFF"/>
          </w:tcPr>
          <w:p>
            <w:pPr>
              <w:spacing w:after="0"/>
              <w:rPr>
                <w:sz w:val="18"/>
                <w:szCs w:val="18"/>
                <w:color w:val="auto"/>
              </w:rPr>
            </w:pPr>
          </w:p>
        </w:tc>
        <w:tc>
          <w:tcPr>
            <w:tcW w:w="39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15,874</w:t>
            </w: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10,123</w:t>
            </w:r>
          </w:p>
        </w:tc>
        <w:tc>
          <w:tcPr>
            <w:tcW w:w="174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34,843</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23,415</w:t>
            </w:r>
          </w:p>
        </w:tc>
      </w:tr>
      <w:tr>
        <w:trPr>
          <w:trHeight w:val="217"/>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Global total</w:t>
            </w:r>
          </w:p>
        </w:tc>
        <w:tc>
          <w:tcPr>
            <w:tcW w:w="39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41,548</w:t>
            </w:r>
          </w:p>
        </w:tc>
        <w:tc>
          <w:tcPr>
            <w:tcW w:w="17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91,865</w:t>
            </w:r>
          </w:p>
        </w:tc>
      </w:tr>
    </w:tbl>
    <w:p>
      <w:pPr>
        <w:spacing w:after="0" w:line="196" w:lineRule="exact"/>
        <w:rPr>
          <w:sz w:val="20"/>
          <w:szCs w:val="20"/>
          <w:color w:val="auto"/>
        </w:rPr>
      </w:pPr>
    </w:p>
    <w:p>
      <w:pPr>
        <w:jc w:val="both"/>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are presented based on the geographical contribution of computational power used for hashing calculations (measured by hashrate) or sales to external customers. During the three and six months ended June 30, 2025 and 2024, the Company earned 94% and 98% of its revenues, respectively, from one Mining pool operator (three and six months ended June 30, 2024: 97% and 98%). The Company has the ability to switch Mining Pools or to mine independently at any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and other non-current assets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net book value of property, plant and equipment and other non-current assets (excluding financial assets and deferred tax assets) by country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3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25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non-current</w:t>
            </w:r>
          </w:p>
        </w:tc>
      </w:tr>
      <w:tr>
        <w:trPr>
          <w:trHeight w:val="238"/>
        </w:trPr>
        <w:tc>
          <w:tcPr>
            <w:tcW w:w="25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PPE</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PPE</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assets</w:t>
            </w: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88,906</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18,269</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107,175</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117,615</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54,291</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171,906</w:t>
            </w:r>
          </w:p>
        </w:tc>
      </w:tr>
      <w:tr>
        <w:trPr>
          <w:trHeight w:val="216"/>
        </w:trPr>
        <w:tc>
          <w:tcPr>
            <w:tcW w:w="2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299,430</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20,052</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319,482</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62,854</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15,491</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78,345</w:t>
            </w:r>
          </w:p>
        </w:tc>
      </w:tr>
      <w:tr>
        <w:trPr>
          <w:trHeight w:val="209"/>
        </w:trPr>
        <w:tc>
          <w:tcPr>
            <w:tcW w:w="250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388,336</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38,321</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426,657</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180,469</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69,782</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250,251</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67,834</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1,656</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69,490</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112,452</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12,594</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125,046</w:t>
            </w:r>
          </w:p>
        </w:tc>
      </w:tr>
      <w:tr>
        <w:trPr>
          <w:trHeight w:val="216"/>
        </w:trPr>
        <w:tc>
          <w:tcPr>
            <w:tcW w:w="2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20,916</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2,196</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23,112</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55,604</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1,050</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56,654</w:t>
            </w:r>
          </w:p>
        </w:tc>
      </w:tr>
      <w:tr>
        <w:trPr>
          <w:trHeight w:val="210"/>
        </w:trPr>
        <w:tc>
          <w:tcPr>
            <w:tcW w:w="250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88,750</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3,852</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92,602</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168,056</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13,644</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181,700</w:t>
            </w:r>
          </w:p>
        </w:tc>
      </w:tr>
      <w:tr>
        <w:trPr>
          <w:trHeight w:val="216"/>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477,086</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42,173</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519,259</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348,525</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83,426</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431,951</w:t>
            </w: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7"/>
        </w:trPr>
        <w:tc>
          <w:tcPr>
            <w:tcW w:w="107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27:</w:t>
      </w:r>
      <w:r>
        <w:rPr>
          <w:sz w:val="20"/>
          <w:szCs w:val="20"/>
          <w:color w:val="auto"/>
        </w:rPr>
        <w:tab/>
      </w:r>
      <w:r>
        <w:rPr>
          <w:rFonts w:ascii="Times New Roman" w:cs="Times New Roman" w:eastAsia="Times New Roman" w:hAnsi="Times New Roman"/>
          <w:sz w:val="17"/>
          <w:szCs w:val="17"/>
          <w:b w:val="1"/>
          <w:bCs w:val="1"/>
          <w:color w:val="auto"/>
        </w:rPr>
        <w:t>ADDITIONAL DETAILS TO THE STATEMENTS OF CASH FLOWS</w:t>
      </w:r>
    </w:p>
    <w:p>
      <w:pPr>
        <w:spacing w:after="0" w:line="22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6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receivables, net</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7,375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inventories</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(2,663)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deposits</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8,569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payables and accrued liabilities</w:t>
            </w:r>
          </w:p>
        </w:tc>
        <w:tc>
          <w:tcPr>
            <w:tcW w:w="2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taxes payable</w:t>
            </w: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other non-current liabilities</w:t>
            </w:r>
          </w:p>
        </w:tc>
        <w:tc>
          <w:tcPr>
            <w:tcW w:w="2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(296)</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13,933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w:t>
            </w:r>
          </w:p>
        </w:tc>
      </w:tr>
      <w:tr>
        <w:trPr>
          <w:trHeight w:val="210"/>
        </w:trPr>
        <w:tc>
          <w:tcPr>
            <w:tcW w:w="8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warrants and RSUs in connection with the acquisition of Stronghold</w:t>
            </w:r>
          </w:p>
        </w:tc>
        <w:tc>
          <w:tcPr>
            <w:tcW w:w="2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78,161</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Addition of ROU assets and related lease liabilities</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239</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PPE financed by short-term credit</w:t>
            </w:r>
          </w:p>
        </w:tc>
        <w:tc>
          <w:tcPr>
            <w:tcW w:w="2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934</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7,473</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PPE</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41,045</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29,756</w:t>
            </w:r>
          </w:p>
        </w:tc>
      </w:tr>
      <w:tr>
        <w:trPr>
          <w:trHeight w:val="216"/>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Computational power revenue and its related service expense</w:t>
            </w:r>
          </w:p>
        </w:tc>
        <w:tc>
          <w:tcPr>
            <w:tcW w:w="20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1,750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64,412</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85,841</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w:t>
            </w:r>
          </w:p>
        </w:tc>
        <w:tc>
          <w:tcPr>
            <w:tcW w:w="2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1,983</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w:t>
            </w:r>
          </w:p>
        </w:tc>
      </w:tr>
      <w:tr>
        <w:trPr>
          <w:trHeight w:val="216"/>
        </w:trPr>
        <w:tc>
          <w:tcPr>
            <w:tcW w:w="8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306</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1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66,701</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87,554</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ab/>
      </w:r>
      <w:r>
        <w:rPr>
          <w:rFonts w:ascii="Times New Roman" w:cs="Times New Roman" w:eastAsia="Times New Roman" w:hAnsi="Times New Roman"/>
          <w:sz w:val="17"/>
          <w:szCs w:val="17"/>
          <w:b w:val="1"/>
          <w:bCs w:val="1"/>
          <w:color w:val="auto"/>
        </w:rPr>
        <w:t>CONTINGENT LIABILITY AND LAWSUITS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Contingent liability</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2021, the Company imported Miners into Washington State, United States,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w:t>
      </w:r>
    </w:p>
    <w:p>
      <w:pPr>
        <w:spacing w:after="0" w:line="186"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and the first quarter of 2025, the Company submitted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ab/>
      </w:r>
      <w:r>
        <w:rPr>
          <w:rFonts w:ascii="Times New Roman" w:cs="Times New Roman" w:eastAsia="Times New Roman" w:hAnsi="Times New Roman"/>
          <w:sz w:val="17"/>
          <w:szCs w:val="17"/>
          <w:b w:val="1"/>
          <w:bCs w:val="1"/>
          <w:color w:val="auto"/>
        </w:rPr>
        <w:t xml:space="preserve">CONTINGENT LIABILITY AND LAWSUITS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Lawsuits</w:t>
      </w:r>
    </w:p>
    <w:p>
      <w:pPr>
        <w:spacing w:after="0" w:line="31" w:lineRule="exact"/>
        <w:rPr>
          <w:sz w:val="20"/>
          <w:szCs w:val="20"/>
          <w:color w:val="auto"/>
        </w:rPr>
      </w:pPr>
    </w:p>
    <w:p>
      <w:pPr>
        <w:ind w:left="840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June 30,</w:t>
      </w:r>
      <w:r>
        <w:rPr>
          <w:sz w:val="20"/>
          <w:szCs w:val="20"/>
          <w:color w:val="auto"/>
        </w:rPr>
        <w:tab/>
      </w:r>
      <w:r>
        <w:rPr>
          <w:rFonts w:ascii="Times New Roman" w:cs="Times New Roman" w:eastAsia="Times New Roman" w:hAnsi="Times New Roman"/>
          <w:sz w:val="18"/>
          <w:szCs w:val="18"/>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FERC Matters</w:t>
            </w:r>
          </w:p>
        </w:tc>
        <w:tc>
          <w:tcPr>
            <w:tcW w:w="304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rPr>
              <w:t>i.</w:t>
            </w:r>
          </w:p>
        </w:tc>
        <w:tc>
          <w:tcPr>
            <w:tcW w:w="17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1,065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Stronghold Shareholder Securities Lawsuit</w:t>
            </w:r>
          </w:p>
        </w:tc>
        <w:tc>
          <w:tcPr>
            <w:tcW w:w="3040" w:type="dxa"/>
            <w:vAlign w:val="bottom"/>
            <w:tcBorders>
              <w:bottom w:val="single" w:sz="8" w:color="auto"/>
            </w:tcBorders>
          </w:tcPr>
          <w:p>
            <w:pPr>
              <w:jc w:val="center"/>
              <w:ind w:left="1650"/>
              <w:spacing w:after="0"/>
              <w:rPr>
                <w:sz w:val="20"/>
                <w:szCs w:val="20"/>
                <w:color w:val="auto"/>
              </w:rPr>
            </w:pPr>
            <w:r>
              <w:rPr>
                <w:rFonts w:ascii="Times New Roman" w:cs="Times New Roman" w:eastAsia="Times New Roman" w:hAnsi="Times New Roman"/>
                <w:sz w:val="18"/>
                <w:szCs w:val="18"/>
                <w:color w:val="auto"/>
                <w:w w:val="96"/>
              </w:rPr>
              <w:t>ii.</w:t>
            </w: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2,036</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settlement accruals</w:t>
            </w:r>
          </w:p>
        </w:tc>
        <w:tc>
          <w:tcPr>
            <w:tcW w:w="30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3,101</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040" w:type="dxa"/>
            <w:vAlign w:val="bottom"/>
          </w:tcPr>
          <w:p>
            <w:pPr>
              <w:spacing w:after="0"/>
              <w:rPr>
                <w:sz w:val="18"/>
                <w:szCs w:val="18"/>
                <w:color w:val="auto"/>
              </w:rPr>
            </w:pP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(1,286)</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discounting</w:t>
            </w:r>
          </w:p>
        </w:tc>
        <w:tc>
          <w:tcPr>
            <w:tcW w:w="30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(117)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30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1,698</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undiscounted legal settlement accruals amounted to $3,101 as of June 30, 2025. The current portion and the non-current portion were recorded in trade payables and accrued liabilities and in other non-current liabilities, respectively, in the consolidated statements of financial position (December 31, 2024: nil).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Federal Energy Regulatory Commission (“FERC”)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May 11, 2022, the Division of Investigations of the FERC Office of Enforcement (“OE”) informed the Company that the OE was conducting a non-public preliminary investigation concerning Scrubgrass’ compliance with various aspects of the PJM tariff.</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30, 2025, the Federal Energy Regulatory Commission (the “Commission”) approved a Stipulation and Settlement Agreement between the OE and Scrubgrass (the “Settlement Agreement”). Pursuant to the Settlement Agreement, Scrubgrass agreed to: (a) disgorge to PJM $679 in capacity revenues received during the relevant period; (b) pay a civil penalty of $741 for a total of $1,420 to the United States Treasury; and (c) provide compliance training to relevant personnel and compliance monitoring reports. Scrubgrass is to pay the settlement amount over a period of three years. In the first year, Scrubgrass is to pay a lump sum of $355, which Scrubgrass paid in February of 2025. In the second and third years, Scrubgrass shall make 8 payments of $133 on a calendar quarter basis. For a period of five years following the effective date of the Settlement Agreement, Scrubgrass is to provide annual compliance training focused primarily on the applicable tariff and related rules, regulations, and requirements applicable to operating generators, to all personnel whose job responsibilities relate to the generators’ participation in Commission jurisdictional markets. As of June 30, 2025, the settlement accrual was $1,065 and represents the 8 installment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45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ab/>
      </w:r>
      <w:r>
        <w:rPr>
          <w:rFonts w:ascii="Times New Roman" w:cs="Times New Roman" w:eastAsia="Times New Roman" w:hAnsi="Times New Roman"/>
          <w:sz w:val="17"/>
          <w:szCs w:val="17"/>
          <w:b w:val="1"/>
          <w:bCs w:val="1"/>
          <w:color w:val="auto"/>
        </w:rPr>
        <w:t xml:space="preserve">CONTINGENT LIABILITY AND LAWSUITS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Lawsuits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Shareholder Securities Lawsuit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14, 2022, Stronghold, and certain of its former directors, officers and underwriters were named in a putative class action complaint filed in the United States District Court for the Southern District of New York (Winter v. Stronghold Digital Mining, Case No. 1:22-cv-3088).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16, 2024, the District Court issued an Order granting Preliminary Approval of the Class Action Settlement, Approving Form and Manner of Notice, and Setting Date for Hearing on Final Approval of Settlement. The Company agreed to pay $4,750 in cash and 25 BTC. On January 15, 2025, $2,500 was covered by the Company’s insurance providers and Stronghold paid the remaining $2,250 into escrow. One BTC will be paid monthly for two years. The cash value of each Bitcoin is expected to be calculated monthly according to a price set by the Nasdaq Bitcoin reference price index. As of June 30, 2025, the settlement accrual was $2,036 and represents the value of the remaining 19 BTC to be paid.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Class Action Lawsuit</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9, 2025, a purported shareholder filed a putative class action complaint in the United States District Court for the Eastern District of New York, in a case titled Olympio v. Bitfarms Ltd., Benjamin Gagnon, Jeffrey Lucas, and Geoffrey Morphy, case no 1:25-cv-02630, alleging violations of Sections 10(b) and 20(a) of the Securities Exchange Act of 1934 and Rule 10b-5, promulgated thereunder. The lawsuit alleges that the Company, its current CEO, its CFO and its former CEO made materially false and/or misleading statements regarding the Company's business, operations and internal controls over financial reporting. The Plaintiff seeks class certification, unspecified damages plus interest and attorney and expert witness fees and other costs on behalf of a purported class consisting of all persons and entities (subject to specified exceptions) that purchased or otherwise acquired Company common stock from March 21, 2023 and December 9, 2024. The lawsuit was filed by Pomerantz Law Firm. The Company cannot predict the duration or outcome of this lawsuit at this time. As a result, the Company is unable to estimate the reasonably possible loss or range of reasonably possible loss arising from this lawsuit and no provision was recorded as of June 30, 2025. The Company intends to vigorously defend itself in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29:</w:t>
        <w:tab/>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Bitmain T21 and S21+ Miners Swap</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July 2025, an exchange agreement was signed to return 10,467 Bitmain T21 Miners. In consideration for the returned Miners, Bitmain will refund the Company with a credit for $23,865. Simultaneously, the Company placed another purchase order for 8,585 Bitmain S21+ Miners at a purchase price of $29,831 to be paid in cash or in BTC. The payment terms, the BTC installments and the BTC Redemption Option are similar to the ones described in Note 9. In July, 2025, the Company paid the net balance of $5,966 in BTC which can be redeemed on a quarterly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options of BTC</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July 2025, the Company exercised its option to redeem the third installment of the BTC Pledged in relation to the purchase of Miners under the November 2024 purchase order. The Company redeemed 87 BTC for $8,308. Refer to Note 8 for more details.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Share Buyback Program</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On July 22, 2025, the Company announced that the TSX had approved a normal course issuer bid (“NCIB”), under which the Company may repurchase up to 49,943,031 of its common shares, representing approximately 10% of the Company’s public float as of July 14, 2025.</w:t>
      </w:r>
    </w:p>
    <w:p>
      <w:pPr>
        <w:spacing w:after="0" w:line="181"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Purchases under the NCIB may commence on July 28, 2025, and will terminate no later than July 27, 2026. All common shares purchased on the TSX or Nasdaq under the NCIB will be cancelled. The Company has entered into an automatic repurchase arrangement with a designated broker to facilitate repurchases under the NCIB, including during pre-determined blackout periods. The timing and number of shares repurchased will be determined by Management based on market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July 28, 2025 to August 11, 2025, the Company repurchased 4,949,244 common shares for cancellation through the Corporate Share Buyback Program in exchange for $6,147 at an average share price of approximately $1.24 USD and paid $50 of commissions to the purchasing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to Purchase Land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2025, the Company entered into an agreement to purchase 3 acres of land in Washington State, United States for $1,898.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8, 2025, the Company entered into an agreement to purchase 181 acres of land in Pennsylvania, United States for $3,500.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29:</w:t>
      </w:r>
      <w:r>
        <w:rPr>
          <w:sz w:val="20"/>
          <w:szCs w:val="20"/>
          <w:color w:val="auto"/>
        </w:rPr>
        <w:tab/>
      </w: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Argentina Operations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On August 8, 2025, the Company entered into an agreement with GMSA to have its energy deposit of $3,500 repaid to the Company over 18 months beginning in January 2026, bearing interest at 5% per annum. GMSA agreed to eliminate the Company's estimated asset retirement obligation for the leased property of $2,807 as of June 30, 2025. The Company amended its $10 per month lease for the property so that the Company pays for the pro-rata portion of land it uses going forward, if any, and extended the lease term to January 2035.</w:t>
      </w:r>
    </w:p>
    <w:p>
      <w:pPr>
        <w:spacing w:after="0" w:line="18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On August 11, 2025, the Company determined that it would discontinue its operations at its Bitcoin data center in Rio Cuarto, Argentina by November 11, 2025 due to the halting of energy supply since May 12, 2025 and future economic uncertainty in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225" w:right="339" w:bottom="1440" w:gutter="0" w:footer="0" w:header="0"/>
        </w:sectPr>
      </w:pPr>
    </w:p>
    <w:bookmarkStart w:id="51" w:name="page52"/>
    <w:bookmarkEnd w:id="51"/>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wp:posOffset>
            </wp:positionV>
            <wp:extent cx="7132320" cy="80752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807529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5"/>
                <w:szCs w:val="15"/>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5"/>
                <w:szCs w:val="15"/>
                <w:color w:val="auto"/>
              </w:rPr>
            </w:pPr>
          </w:p>
        </w:tc>
        <w:tc>
          <w:tcPr>
            <w:tcW w:w="95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10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Second Quarter 2025 Financial Results and Operational Highlights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7"/>
                <w:szCs w:val="17"/>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Production and Mining Operations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400" w:type="dxa"/>
            <w:vAlign w:val="bottom"/>
            <w:tcBorders>
              <w:top w:val="single" w:sz="8" w:color="CCEEFF"/>
            </w:tcBorders>
          </w:tcPr>
          <w:p>
            <w:pPr>
              <w:spacing w:after="0"/>
              <w:rPr>
                <w:sz w:val="15"/>
                <w:szCs w:val="15"/>
                <w:color w:val="auto"/>
              </w:rPr>
            </w:pPr>
          </w:p>
        </w:tc>
        <w:tc>
          <w:tcPr>
            <w:tcW w:w="250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Expansion Projects</w:t>
            </w:r>
          </w:p>
        </w:tc>
        <w:tc>
          <w:tcPr>
            <w:tcW w:w="708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Performance</w:t>
            </w:r>
          </w:p>
        </w:tc>
        <w:tc>
          <w:tcPr>
            <w:tcW w:w="7940" w:type="dxa"/>
            <w:vAlign w:val="bottom"/>
            <w:tcBorders>
              <w:bottom w:val="single" w:sz="8" w:color="CCEEFF"/>
              <w:right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400" w:type="dxa"/>
            <w:vAlign w:val="bottom"/>
            <w:shd w:val="clear" w:color="auto" w:fill="CCEEFF"/>
          </w:tcPr>
          <w:p>
            <w:pPr>
              <w:spacing w:after="0"/>
              <w:rPr>
                <w:sz w:val="17"/>
                <w:szCs w:val="17"/>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Non-IFRS and Other Financial Measures and Ratios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top w:val="single" w:sz="8" w:color="CCEEFF"/>
            </w:tcBorders>
          </w:tcPr>
          <w:p>
            <w:pPr>
              <w:spacing w:after="0"/>
              <w:rPr>
                <w:sz w:val="15"/>
                <w:szCs w:val="15"/>
                <w:color w:val="auto"/>
              </w:rPr>
            </w:pPr>
          </w:p>
        </w:tc>
        <w:tc>
          <w:tcPr>
            <w:tcW w:w="37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582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15"/>
                <w:szCs w:val="15"/>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Position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5"/>
                <w:szCs w:val="15"/>
                <w:color w:val="auto"/>
              </w:rPr>
            </w:pPr>
          </w:p>
        </w:tc>
        <w:tc>
          <w:tcPr>
            <w:tcW w:w="95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Related Party Transactions</w:t>
            </w:r>
          </w:p>
        </w:tc>
        <w:tc>
          <w:tcPr>
            <w:tcW w:w="7640" w:type="dxa"/>
            <w:vAlign w:val="bottom"/>
            <w:tcBorders>
              <w:bottom w:val="single" w:sz="8" w:color="CCEEFF"/>
              <w:right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Restatement</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400" w:type="dxa"/>
            <w:vAlign w:val="bottom"/>
            <w:shd w:val="clear" w:color="auto" w:fill="CCEEFF"/>
          </w:tcPr>
          <w:p>
            <w:pPr>
              <w:spacing w:after="0"/>
              <w:rPr>
                <w:sz w:val="17"/>
                <w:szCs w:val="17"/>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Internal Controls Over Financial Reporting</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top w:val="single" w:sz="8" w:color="CCEEFF"/>
            </w:tcBorders>
          </w:tcPr>
          <w:p>
            <w:pPr>
              <w:spacing w:after="0"/>
              <w:rPr>
                <w:sz w:val="15"/>
                <w:szCs w:val="15"/>
                <w:color w:val="auto"/>
              </w:rPr>
            </w:pPr>
          </w:p>
        </w:tc>
        <w:tc>
          <w:tcPr>
            <w:tcW w:w="31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Recent and Subsequent Events</w:t>
            </w:r>
          </w:p>
        </w:tc>
        <w:tc>
          <w:tcPr>
            <w:tcW w:w="64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4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 Capital</w:t>
            </w:r>
          </w:p>
        </w:tc>
        <w:tc>
          <w:tcPr>
            <w:tcW w:w="8600" w:type="dxa"/>
            <w:vAlign w:val="bottom"/>
            <w:tcBorders>
              <w:bottom w:val="single" w:sz="8" w:color="CCEEFF"/>
              <w:right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Regulatory Compliance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0" w:type="dxa"/>
            <w:vAlign w:val="bottom"/>
            <w:shd w:val="clear" w:color="auto" w:fill="CCEEFF"/>
          </w:tcPr>
          <w:p>
            <w:pPr>
              <w:spacing w:after="0"/>
              <w:rPr>
                <w:sz w:val="15"/>
                <w:szCs w:val="15"/>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5"/>
                <w:szCs w:val="15"/>
                <w:color w:val="auto"/>
              </w:rPr>
            </w:pPr>
          </w:p>
        </w:tc>
        <w:tc>
          <w:tcPr>
            <w:tcW w:w="95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Estimates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Accounting Policy Information and New Accounting Policies</w:t>
            </w:r>
          </w:p>
        </w:tc>
        <w:tc>
          <w:tcPr>
            <w:tcW w:w="448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400" w:type="dxa"/>
            <w:vAlign w:val="bottom"/>
            <w:shd w:val="clear" w:color="auto" w:fill="CCEEFF"/>
          </w:tcPr>
          <w:p>
            <w:pPr>
              <w:spacing w:after="0"/>
              <w:rPr>
                <w:sz w:val="17"/>
                <w:szCs w:val="17"/>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Non-IFRS and Other Financial Measures and Ratios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400" w:type="dxa"/>
            <w:vAlign w:val="bottom"/>
            <w:tcBorders>
              <w:top w:val="single" w:sz="8" w:color="CCEEFF"/>
            </w:tcBorders>
          </w:tcPr>
          <w:p>
            <w:pPr>
              <w:spacing w:after="0"/>
              <w:rPr>
                <w:sz w:val="15"/>
                <w:szCs w:val="15"/>
                <w:color w:val="auto"/>
              </w:rPr>
            </w:pPr>
          </w:p>
        </w:tc>
        <w:tc>
          <w:tcPr>
            <w:tcW w:w="580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37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9980" w:type="dxa"/>
            <w:vAlign w:val="bottom"/>
            <w:tcBorders>
              <w:right w:val="single" w:sz="8" w:color="CCEEFF"/>
            </w:tcBorders>
            <w:gridSpan w:val="26"/>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0000EE"/>
              </w:rPr>
              <w:t>Glossary of Terms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37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9980" w:type="dxa"/>
            <w:vAlign w:val="bottom"/>
            <w:tcBorders>
              <w:right w:val="single" w:sz="8" w:color="auto"/>
            </w:tcBorders>
            <w:gridSpan w:val="26"/>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has been prepared as of August 11, 2025. This MD&amp;A should be read in conjunction with the Company’s unaudited interim condensed consolidated financial statements for the three and six months ended June 30, 2025 and its accompanying notes (the “Financial Statements”), the Company’s 2024 audited annual consolidated financial statements and its accompanying notes (the “2024 Annual Financial Statements”) and the Company’s Annual Information Form dated March 26, 2025 (the “2024 AIF”), which are available on SEDAR+ at www.sedarplus.ca and EDGAR at www.sec.gov/edgar.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International Financial Reporting Standards as issued by the International Accounting Standards Board (“IFRS Accounting Standards”) applicable to the preparation of interim financial statements, including IAS 34, Interim Financial Reporting. The Company’s Financial Statements and this MD&amp;A are reported in thousands of U.S. dollars and U.S. dollars, respectively, except where otherwise noted.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non-IFRS financial measures and ratios in assessing operating performance. Non-IFRS financial measures and ratios may exclude the impact of certain items and are used internally when analyzing operating performance. Refer to Section 9 - </w:t>
      </w:r>
      <w:r>
        <w:rPr>
          <w:rFonts w:ascii="Times New Roman" w:cs="Times New Roman" w:eastAsia="Times New Roman" w:hAnsi="Times New Roman"/>
          <w:sz w:val="18"/>
          <w:szCs w:val="18"/>
          <w:i w:val="1"/>
          <w:iCs w:val="1"/>
          <w:color w:val="auto"/>
        </w:rPr>
        <w:t>Non-IFRS and Other Financial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Ratios </w:t>
      </w:r>
      <w:r>
        <w:rPr>
          <w:rFonts w:ascii="Times New Roman" w:cs="Times New Roman" w:eastAsia="Times New Roman" w:hAnsi="Times New Roman"/>
          <w:sz w:val="18"/>
          <w:szCs w:val="18"/>
          <w:color w:val="auto"/>
        </w:rPr>
        <w:t>and Section 23 -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 information.</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2024, dated March 26, 2025 and to Section 22 -</w:t>
      </w:r>
      <w:r>
        <w:rPr>
          <w:rFonts w:ascii="Times New Roman" w:cs="Times New Roman" w:eastAsia="Times New Roman" w:hAnsi="Times New Roman"/>
          <w:sz w:val="18"/>
          <w:szCs w:val="18"/>
          <w:i w:val="1"/>
          <w:iCs w:val="1"/>
          <w:color w:val="auto"/>
        </w:rPr>
        <w:t xml:space="preserve"> 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 Company’s business and industry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Section 25 -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88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Q2 2025</w:t>
            </w:r>
          </w:p>
        </w:tc>
        <w:tc>
          <w:tcPr>
            <w:tcW w:w="8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Three months ended June 30, 2025</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Q2 2024</w:t>
            </w:r>
          </w:p>
        </w:tc>
        <w:tc>
          <w:tcPr>
            <w:tcW w:w="8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Three months ended June 30, 2024</w:t>
            </w:r>
          </w:p>
        </w:tc>
      </w:tr>
      <w:tr>
        <w:trPr>
          <w:trHeight w:val="25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YTD Q2 2025</w:t>
            </w:r>
          </w:p>
        </w:tc>
        <w:tc>
          <w:tcPr>
            <w:tcW w:w="8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Six months ended June 30, 2025</w:t>
            </w:r>
          </w:p>
        </w:tc>
      </w:tr>
      <w:tr>
        <w:trPr>
          <w:trHeight w:val="277"/>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YTD Q2 2024</w:t>
            </w:r>
          </w:p>
        </w:tc>
        <w:tc>
          <w:tcPr>
            <w:tcW w:w="88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Six months ended June 30, 2024</w:t>
            </w:r>
          </w:p>
        </w:tc>
      </w:tr>
    </w:tbl>
    <w:p>
      <w:pPr>
        <w:spacing w:after="0" w:line="200" w:lineRule="exact"/>
        <w:rPr>
          <w:sz w:val="20"/>
          <w:szCs w:val="20"/>
          <w:color w:val="auto"/>
        </w:rPr>
      </w:pPr>
    </w:p>
    <w:p>
      <w:pPr>
        <w:spacing w:after="0" w:line="227"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3</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energy and compute infrastructure company. Bitfarms develops and operates data centers primarily for Bitcoin mining with in-house management and company-owned electrical engineering, installation service, and multiple onsite technical repair centers. The Company is leveraging its existing energy and compute infrastructure to expand into HPC and AI, positioning itself to capture opportunities in these rapidly growing markets.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Bitcoin (“BTC”).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5 to the Financial Statements, the Company acquired Stronghold Digital Mining, Inc. (“Stronghold”) on March 14, 2025 (the “Stronghold Transaction”). Through the acquisition of Stronghold, the Company now owns and operates two refuse power generation facilities. Both facilities qualify as an “Alternative Energy System” under Pennsylvania, United States law because refuse is classified as a Tier II Alternative Energy Source (large-scale hydropower is also classified in this tier). The Company sells its electricity into the Pennsylvania, New Jersey, Maryland (“PJM”) Interconnection Merchant Market under a professional services agreement with Customized Energy Solutions, Ltd. The Company’s primary fuel source at these facilities is waste which is provided by various third parties. Waste tax credits are earned by the Company by utilizing refuse to generate electricity. The Company either consumes the energy internally to support computational activities related to hashing calculations or sells the energy it produces to the local energy supplier (the “Grid”).</w:t>
      </w:r>
    </w:p>
    <w:p>
      <w:pPr>
        <w:spacing w:after="0" w:line="200" w:lineRule="exact"/>
        <w:rPr>
          <w:sz w:val="20"/>
          <w:szCs w:val="20"/>
          <w:color w:val="auto"/>
        </w:rPr>
      </w:pPr>
    </w:p>
    <w:p>
      <w:pPr>
        <w:spacing w:after="0" w:line="221"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COMPANY OVERVIEW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currently has 14 operating Bitcoin data centers situated in three countries: Canada, the United States and Paraguay, powered by long-term competitively priced power contracts.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Borders>
              <w:top w:val="single" w:sz="8" w:color="auto"/>
            </w:tcBorders>
          </w:tcPr>
          <w:p>
            <w:pPr>
              <w:spacing w:after="0"/>
              <w:rPr>
                <w:sz w:val="18"/>
                <w:szCs w:val="18"/>
                <w:color w:val="auto"/>
              </w:rPr>
            </w:pPr>
          </w:p>
        </w:tc>
        <w:tc>
          <w:tcPr>
            <w:tcW w:w="48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Energized capacity as</w:t>
            </w:r>
          </w:p>
        </w:tc>
        <w:tc>
          <w:tcPr>
            <w:tcW w:w="21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Contracted capacity as</w:t>
            </w:r>
          </w:p>
        </w:tc>
      </w:tr>
      <w:tr>
        <w:trPr>
          <w:trHeight w:val="238"/>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4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of August 11, 2025</w:t>
            </w:r>
          </w:p>
        </w:tc>
        <w:tc>
          <w:tcPr>
            <w:tcW w:w="21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of August 11, 2025</w:t>
            </w: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4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170 MW</w:t>
            </w:r>
          </w:p>
        </w:tc>
        <w:tc>
          <w:tcPr>
            <w:tcW w:w="2120" w:type="dxa"/>
            <w:vAlign w:val="bottom"/>
            <w:shd w:val="clear" w:color="auto" w:fill="CCEEFF"/>
          </w:tcPr>
          <w:p>
            <w:pPr>
              <w:jc w:val="right"/>
              <w:ind w:right="40"/>
              <w:spacing w:after="0" w:line="270" w:lineRule="exact"/>
              <w:rPr>
                <w:sz w:val="20"/>
                <w:szCs w:val="20"/>
                <w:color w:val="auto"/>
              </w:rPr>
            </w:pPr>
            <w:r>
              <w:rPr>
                <w:rFonts w:ascii="Times New Roman" w:cs="Times New Roman" w:eastAsia="Times New Roman" w:hAnsi="Times New Roman"/>
                <w:sz w:val="18"/>
                <w:szCs w:val="18"/>
                <w:color w:val="auto"/>
              </w:rPr>
              <w:t>180 MW</w:t>
            </w:r>
            <w:r>
              <w:rPr>
                <w:rFonts w:ascii="Times New Roman" w:cs="Times New Roman" w:eastAsia="Times New Roman" w:hAnsi="Times New Roman"/>
                <w:sz w:val="29"/>
                <w:szCs w:val="29"/>
                <w:color w:val="auto"/>
                <w:vertAlign w:val="superscript"/>
              </w:rPr>
              <w:t>1</w:t>
            </w:r>
          </w:p>
        </w:tc>
      </w:tr>
      <w:tr>
        <w:trPr>
          <w:trHeight w:val="270"/>
        </w:trPr>
        <w:tc>
          <w:tcPr>
            <w:tcW w:w="4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171 MW</w:t>
            </w:r>
          </w:p>
        </w:tc>
        <w:tc>
          <w:tcPr>
            <w:tcW w:w="2120" w:type="dxa"/>
            <w:vAlign w:val="bottom"/>
            <w:tcBorders>
              <w:bottom w:val="single" w:sz="8" w:color="auto"/>
            </w:tcBorders>
          </w:tcPr>
          <w:p>
            <w:pPr>
              <w:jc w:val="right"/>
              <w:spacing w:after="0" w:line="270" w:lineRule="exact"/>
              <w:rPr>
                <w:sz w:val="20"/>
                <w:szCs w:val="20"/>
                <w:color w:val="auto"/>
              </w:rPr>
            </w:pPr>
            <w:r>
              <w:rPr>
                <w:rFonts w:ascii="Times New Roman" w:cs="Times New Roman" w:eastAsia="Times New Roman" w:hAnsi="Times New Roman"/>
                <w:sz w:val="18"/>
                <w:szCs w:val="18"/>
                <w:color w:val="auto"/>
              </w:rPr>
              <w:t>438 MW</w:t>
            </w:r>
            <w:r>
              <w:rPr>
                <w:rFonts w:ascii="Times New Roman" w:cs="Times New Roman" w:eastAsia="Times New Roman" w:hAnsi="Times New Roman"/>
                <w:sz w:val="29"/>
                <w:szCs w:val="29"/>
                <w:color w:val="auto"/>
                <w:vertAlign w:val="superscript"/>
              </w:rPr>
              <w:t>2,3</w:t>
            </w:r>
          </w:p>
        </w:tc>
      </w:tr>
      <w:tr>
        <w:trPr>
          <w:trHeight w:val="209"/>
        </w:trPr>
        <w:tc>
          <w:tcPr>
            <w:tcW w:w="4240" w:type="dxa"/>
            <w:vAlign w:val="bottom"/>
            <w:shd w:val="clear" w:color="auto" w:fill="CCEEFF"/>
          </w:tcPr>
          <w:p>
            <w:pPr>
              <w:spacing w:after="0"/>
              <w:rPr>
                <w:sz w:val="18"/>
                <w:szCs w:val="18"/>
                <w:color w:val="auto"/>
              </w:rPr>
            </w:pPr>
          </w:p>
        </w:tc>
        <w:tc>
          <w:tcPr>
            <w:tcW w:w="4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341 MW</w:t>
            </w:r>
          </w:p>
        </w:tc>
        <w:tc>
          <w:tcPr>
            <w:tcW w:w="21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 MW</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4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80 MW</w:t>
            </w:r>
          </w:p>
        </w:tc>
        <w:tc>
          <w:tcPr>
            <w:tcW w:w="21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 MW</w:t>
            </w:r>
          </w:p>
        </w:tc>
      </w:tr>
      <w:tr>
        <w:trPr>
          <w:trHeight w:val="15"/>
        </w:trPr>
        <w:tc>
          <w:tcPr>
            <w:tcW w:w="4240" w:type="dxa"/>
            <w:vAlign w:val="bottom"/>
          </w:tcPr>
          <w:p>
            <w:pPr>
              <w:ind w:left="120"/>
              <w:spacing w:after="0"/>
              <w:rPr>
                <w:sz w:val="20"/>
                <w:szCs w:val="20"/>
                <w:color w:val="auto"/>
              </w:rPr>
            </w:pPr>
            <w:r>
              <w:rPr>
                <w:rFonts w:ascii="Times New Roman" w:cs="Times New Roman" w:eastAsia="Times New Roman" w:hAnsi="Times New Roman"/>
                <w:sz w:val="1"/>
                <w:szCs w:val="1"/>
                <w:color w:val="auto"/>
              </w:rPr>
              <w:t>Argentina</w:t>
            </w:r>
          </w:p>
        </w:tc>
        <w:tc>
          <w:tcPr>
            <w:tcW w:w="4880" w:type="dxa"/>
            <w:vAlign w:val="bottom"/>
          </w:tcPr>
          <w:p>
            <w:pPr>
              <w:jc w:val="right"/>
              <w:ind w:right="79"/>
              <w:spacing w:after="0"/>
              <w:rPr>
                <w:sz w:val="20"/>
                <w:szCs w:val="20"/>
                <w:color w:val="auto"/>
              </w:rPr>
            </w:pPr>
            <w:r>
              <w:rPr>
                <w:rFonts w:ascii="Times New Roman" w:cs="Times New Roman" w:eastAsia="Times New Roman" w:hAnsi="Times New Roman"/>
                <w:sz w:val="1"/>
                <w:szCs w:val="1"/>
                <w:color w:val="auto"/>
              </w:rPr>
              <w:t>— MW</w:t>
            </w:r>
          </w:p>
        </w:tc>
        <w:tc>
          <w:tcPr>
            <w:tcW w:w="2120" w:type="dxa"/>
            <w:vAlign w:val="bottom"/>
          </w:tcPr>
          <w:p>
            <w:pPr>
              <w:jc w:val="right"/>
              <w:ind w:right="100"/>
              <w:spacing w:after="0"/>
              <w:rPr>
                <w:sz w:val="20"/>
                <w:szCs w:val="20"/>
                <w:color w:val="auto"/>
              </w:rPr>
            </w:pPr>
            <w:r>
              <w:rPr>
                <w:rFonts w:ascii="Times New Roman" w:cs="Times New Roman" w:eastAsia="Times New Roman" w:hAnsi="Times New Roman"/>
                <w:sz w:val="1"/>
                <w:szCs w:val="1"/>
                <w:color w:val="auto"/>
              </w:rPr>
              <w:t>210 MW</w:t>
            </w:r>
          </w:p>
        </w:tc>
      </w:tr>
      <w:tr>
        <w:trPr>
          <w:trHeight w:val="197"/>
        </w:trPr>
        <w:tc>
          <w:tcPr>
            <w:tcW w:w="424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5"/>
                <w:szCs w:val="15"/>
                <w:color w:val="auto"/>
              </w:rPr>
              <w:t>4</w:t>
            </w:r>
          </w:p>
        </w:tc>
      </w:tr>
      <w:tr>
        <w:trPr>
          <w:trHeight w:val="213"/>
        </w:trPr>
        <w:tc>
          <w:tcPr>
            <w:tcW w:w="424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80 MW</w:t>
            </w:r>
          </w:p>
        </w:tc>
        <w:tc>
          <w:tcPr>
            <w:tcW w:w="21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 MW</w:t>
            </w:r>
          </w:p>
        </w:tc>
      </w:tr>
      <w:tr>
        <w:trPr>
          <w:trHeight w:val="217"/>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421 MW</w:t>
            </w:r>
          </w:p>
        </w:tc>
        <w:tc>
          <w:tcPr>
            <w:tcW w:w="21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8"/>
                <w:szCs w:val="18"/>
                <w:color w:val="auto"/>
              </w:rPr>
              <w:t>908 MW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 data centers</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State/Province</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Country</w:t>
            </w:r>
          </w:p>
        </w:tc>
      </w:tr>
      <w:tr>
        <w:trPr>
          <w:trHeight w:val="27"/>
        </w:trPr>
        <w:tc>
          <w:tcPr>
            <w:tcW w:w="24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St-Hyacinthe</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Quebec</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Canada</w:t>
            </w:r>
          </w:p>
        </w:tc>
      </w:tr>
      <w:tr>
        <w:trPr>
          <w:trHeight w:val="28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Cowansville</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Quebec</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Canada</w:t>
            </w:r>
          </w:p>
        </w:tc>
      </w:tr>
      <w:tr>
        <w:trPr>
          <w:trHeight w:val="28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Magog</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Quebec</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Canada</w:t>
            </w:r>
          </w:p>
        </w:tc>
      </w:tr>
      <w:tr>
        <w:trPr>
          <w:trHeight w:val="28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Farnham</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Quebec</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Canada</w:t>
            </w:r>
          </w:p>
        </w:tc>
      </w:tr>
      <w:tr>
        <w:trPr>
          <w:trHeight w:val="28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Bunker</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Quebec</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Canada</w:t>
            </w:r>
          </w:p>
        </w:tc>
      </w:tr>
      <w:tr>
        <w:trPr>
          <w:trHeight w:val="28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Leger</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Quebec</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Canada</w:t>
            </w:r>
          </w:p>
        </w:tc>
      </w:tr>
      <w:tr>
        <w:trPr>
          <w:trHeight w:val="28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Garlock</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Quebec</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Canada</w:t>
            </w:r>
          </w:p>
        </w:tc>
      </w:tr>
      <w:tr>
        <w:trPr>
          <w:trHeight w:val="28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Baie-Comeau</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Quebec</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Canada</w:t>
            </w:r>
          </w:p>
        </w:tc>
      </w:tr>
      <w:tr>
        <w:trPr>
          <w:trHeight w:val="27"/>
        </w:trPr>
        <w:tc>
          <w:tcPr>
            <w:tcW w:w="24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Washington</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Washington</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Sharon</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Pennsylvania</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Panther Creek</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Pennsylvania</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Scrubgrass</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Pennsylvania</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
        </w:trPr>
        <w:tc>
          <w:tcPr>
            <w:tcW w:w="24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Villarrica</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Guairá Department</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Paraguay</w:t>
            </w:r>
          </w:p>
        </w:tc>
      </w:tr>
      <w:tr>
        <w:trPr>
          <w:trHeight w:val="28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Paso Pe</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Cordillera Department</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Paraguay</w:t>
            </w:r>
          </w:p>
        </w:tc>
      </w:tr>
      <w:tr>
        <w:trPr>
          <w:trHeight w:val="27"/>
        </w:trPr>
        <w:tc>
          <w:tcPr>
            <w:tcW w:w="24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Rio Cuarto</w:t>
            </w:r>
          </w:p>
        </w:tc>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Córdoba</w:t>
            </w:r>
          </w:p>
        </w:tc>
        <w:tc>
          <w:tcPr>
            <w:tcW w:w="5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Argentina</w:t>
            </w:r>
          </w:p>
        </w:tc>
      </w:tr>
      <w:tr>
        <w:trPr>
          <w:trHeight w:val="34"/>
        </w:trPr>
        <w:tc>
          <w:tcPr>
            <w:tcW w:w="24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left="340" w:hanging="332"/>
        <w:spacing w:after="0" w:line="195"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10 MW of hydro-electricity in the province of Quebec, Canada and is continuing its efforts to search for economically viable properties for the available 10 MW of hydro-electricity.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line="181" w:lineRule="auto"/>
        <w:tabs>
          <w:tab w:leader="none" w:pos="34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Refer to Section 6 - </w:t>
      </w:r>
      <w:r>
        <w:rPr>
          <w:rFonts w:ascii="Times New Roman" w:cs="Times New Roman" w:eastAsia="Times New Roman" w:hAnsi="Times New Roman"/>
          <w:sz w:val="15"/>
          <w:szCs w:val="15"/>
          <w:i w:val="1"/>
          <w:iCs w:val="1"/>
          <w:color w:val="auto"/>
        </w:rPr>
        <w:t>Expansion Projects</w:t>
      </w:r>
      <w:r>
        <w:rPr>
          <w:rFonts w:ascii="Times New Roman" w:cs="Times New Roman" w:eastAsia="Times New Roman" w:hAnsi="Times New Roman"/>
          <w:sz w:val="15"/>
          <w:szCs w:val="15"/>
          <w:color w:val="auto"/>
        </w:rPr>
        <w:t xml:space="preserve"> for details on the timing of the remaining MW not yet operational.</w:t>
      </w:r>
    </w:p>
    <w:p>
      <w:pPr>
        <w:ind w:left="340" w:hanging="332"/>
        <w:spacing w:after="0" w:line="181" w:lineRule="auto"/>
        <w:tabs>
          <w:tab w:leader="none" w:pos="34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a hosting contract to operate 21 MW of Miners on behalf of a third party at the Panther Creek Bitcoin data center.</w:t>
      </w:r>
    </w:p>
    <w:p>
      <w:pPr>
        <w:spacing w:after="0" w:line="2" w:lineRule="exact"/>
        <w:rPr>
          <w:sz w:val="20"/>
          <w:szCs w:val="20"/>
          <w:color w:val="auto"/>
        </w:rPr>
      </w:pPr>
    </w:p>
    <w:p>
      <w:pPr>
        <w:jc w:val="both"/>
        <w:ind w:left="340" w:hanging="332"/>
        <w:spacing w:after="0" w:line="220"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On May 12, 2025, the Company was informed by GMSA that it will be halting until further notice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by November 11, 2025. Refer to Section 19 - </w:t>
      </w:r>
      <w:r>
        <w:rPr>
          <w:rFonts w:ascii="Times New Roman" w:cs="Times New Roman" w:eastAsia="Times New Roman" w:hAnsi="Times New Roman"/>
          <w:sz w:val="18"/>
          <w:szCs w:val="18"/>
          <w:i w:val="1"/>
          <w:iCs w:val="1"/>
          <w:color w:val="auto"/>
        </w:rPr>
        <w:t>Risk Factors (The Company’s operations in Rio Cuarto have been suspended due to a halt in its supply of electrical power on May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ind w:left="10440"/>
        <w:spacing w:after="0"/>
        <w:tabs>
          <w:tab w:leader="none" w:pos="10880" w:val="left"/>
        </w:tabs>
        <w:rPr>
          <w:sz w:val="20"/>
          <w:szCs w:val="20"/>
          <w:color w:val="auto"/>
        </w:rPr>
      </w:pPr>
      <w:r>
        <w:rPr>
          <w:rFonts w:ascii="Times New Roman" w:cs="Times New Roman" w:eastAsia="Times New Roman" w:hAnsi="Times New Roman"/>
          <w:sz w:val="17"/>
          <w:szCs w:val="17"/>
          <w:color w:val="auto"/>
        </w:rPr>
        <w:t>5</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tc>
        <w:tc>
          <w:tcPr>
            <w:tcW w:w="2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44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8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41,548</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91,865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2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(5,480)</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(11,275)</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(6,022)</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(21,957)</w:t>
            </w:r>
          </w:p>
        </w:tc>
      </w:tr>
      <w:tr>
        <w:trPr>
          <w:trHeight w:val="257"/>
        </w:trPr>
        <w:tc>
          <w:tcPr>
            <w:tcW w:w="4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2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(39,626)</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(23,578)</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(71,985)</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(47,286)</w:t>
            </w:r>
          </w:p>
        </w:tc>
      </w:tr>
      <w:tr>
        <w:trPr>
          <w:trHeight w:val="257"/>
        </w:trPr>
        <w:tc>
          <w:tcPr>
            <w:tcW w:w="448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28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7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(28,844)</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(26,599)</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(64,719)</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(32,579)</w:t>
            </w:r>
          </w:p>
        </w:tc>
      </w:tr>
      <w:tr>
        <w:trPr>
          <w:trHeight w:val="216"/>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8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(0.05)</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(0.07)</w:t>
            </w:r>
          </w:p>
        </w:tc>
        <w:tc>
          <w:tcPr>
            <w:tcW w:w="17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(0.12)</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r>
      <w:tr>
        <w:trPr>
          <w:trHeight w:val="250"/>
        </w:trPr>
        <w:tc>
          <w:tcPr>
            <w:tcW w:w="448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8"/>
                <w:szCs w:val="28"/>
                <w:color w:val="auto"/>
                <w:vertAlign w:val="superscript"/>
              </w:rPr>
              <w:t>(2)</w:t>
            </w:r>
          </w:p>
        </w:tc>
        <w:tc>
          <w:tcPr>
            <w:tcW w:w="28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32,367</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20,650</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61,731</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51,990</w:t>
            </w:r>
          </w:p>
        </w:tc>
      </w:tr>
      <w:tr>
        <w:trPr>
          <w:trHeight w:val="257"/>
        </w:trPr>
        <w:tc>
          <w:tcPr>
            <w:tcW w:w="4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2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7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7"/>
        </w:trPr>
        <w:tc>
          <w:tcPr>
            <w:tcW w:w="44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28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13,720</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11,466</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28,806</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34,790</w:t>
            </w:r>
          </w:p>
        </w:tc>
      </w:tr>
      <w:tr>
        <w:trPr>
          <w:trHeight w:val="257"/>
        </w:trPr>
        <w:tc>
          <w:tcPr>
            <w:tcW w:w="448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28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7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25"/>
        </w:trPr>
        <w:tc>
          <w:tcPr>
            <w:tcW w:w="44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r>
      <w:tr>
        <w:trPr>
          <w:trHeight w:val="210"/>
        </w:trPr>
        <w:tc>
          <w:tcPr>
            <w:tcW w:w="44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827,950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667,616</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2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75,306</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30,445</w:t>
            </w:r>
          </w:p>
        </w:tc>
      </w:tr>
      <w:tr>
        <w:trPr>
          <w:trHeight w:val="223"/>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2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50,999</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for the periods disclosed above.</w:t>
      </w:r>
    </w:p>
    <w:p>
      <w:pPr>
        <w:spacing w:after="0" w:line="12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line="187"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SECOND QUARTER 2025 FINANCIAL RESULTS AND 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$77.8 million;</w:t>
      </w:r>
    </w:p>
    <w:p>
      <w:pPr>
        <w:spacing w:after="0" w:line="9" w:lineRule="exact"/>
        <w:rPr>
          <w:rFonts w:ascii="Times New Roman" w:cs="Times New Roman" w:eastAsia="Times New Roman" w:hAnsi="Times New Roman"/>
          <w:sz w:val="18"/>
          <w:szCs w:val="18"/>
          <w:color w:val="auto"/>
        </w:rPr>
      </w:pPr>
    </w:p>
    <w:p>
      <w:pPr>
        <w:ind w:left="340" w:hanging="332"/>
        <w:spacing w:after="0" w:line="183" w:lineRule="auto"/>
        <w:tabs>
          <w:tab w:leader="none" w:pos="340" w:val="left"/>
        </w:tabs>
        <w:numPr>
          <w:ilvl w:val="0"/>
          <w:numId w:val="37"/>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of $32.4 million (45% Gross Mining margin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w:t>
      </w:r>
    </w:p>
    <w:p>
      <w:pPr>
        <w:ind w:left="340" w:hanging="332"/>
        <w:spacing w:after="0" w:line="191" w:lineRule="auto"/>
        <w:tabs>
          <w:tab w:leader="none" w:pos="340" w:val="left"/>
        </w:tabs>
        <w:numPr>
          <w:ilvl w:val="0"/>
          <w:numId w:val="3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$13.7 million (18% Adjusted EBITDA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and</w:t>
      </w:r>
    </w:p>
    <w:p>
      <w:pPr>
        <w:jc w:val="both"/>
        <w:ind w:left="340" w:hanging="332"/>
        <w:spacing w:after="0" w:line="183" w:lineRule="auto"/>
        <w:tabs>
          <w:tab w:leader="none" w:pos="340" w:val="left"/>
        </w:tabs>
        <w:numPr>
          <w:ilvl w:val="0"/>
          <w:numId w:val="37"/>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loss of $5.5 million (Gross margin</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of negative 7%) including non-cash depreciation and amortization expense of $37.0 million, operating loss of $39.6 million (Operating margin</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of negative 51%) including an impairment loss of $14.6 million relating to the Argentina cash generating unit, and net loss of $28.8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31" w:lineRule="exact"/>
        <w:rPr>
          <w:sz w:val="20"/>
          <w:szCs w:val="20"/>
          <w:color w:val="auto"/>
        </w:rPr>
      </w:pPr>
    </w:p>
    <w:p>
      <w:pPr>
        <w:ind w:left="340" w:right="2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Hashrate under Management from 19.5 EH/s at March 31, 2025 to 17.7 EH/s at June 30, 2025, a decrease of 9%, primarily due to the halting of the electricity supply in Rio Cuarto;</w:t>
      </w:r>
    </w:p>
    <w:p>
      <w:pPr>
        <w:ind w:left="340" w:right="20" w:hanging="332"/>
        <w:spacing w:after="0" w:line="182" w:lineRule="auto"/>
        <w:tabs>
          <w:tab w:leader="none" w:pos="340"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Earned 718 BTC at an average direct cost of $48,200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or an average total cash cost of $77,100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and received 15 BTC through hosting revenue;</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1,176 BTC valued at approximately $126.0 million as of June 30, 2025;</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1,052 BTC at an average price of $95,500 per BTC for total proceeds of $100.5 million, a portion of which was used to pay capital expenditures to support the Company’s growth and efficiency improvement objectives; and</w:t>
      </w: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realized and unrealized gain of $2.0 million on Bitcoin One BTC option contracts.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Macquarie Loan</w:t>
      </w:r>
    </w:p>
    <w:p>
      <w:pPr>
        <w:spacing w:after="0" w:line="31"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credit facility up to $300.0 million from Macquarie Equipment Capital, Inc. (“Macquarie”);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Drew down the initial tranche of $50.0 million in April 2025, issued to Macquarie 5,330,946 warrants convertible into a fixed number of common shares and paid $3.2 million in transaction fees which will be deferred and/or amortized over the term of the credit facility; and</w:t>
      </w:r>
    </w:p>
    <w:p>
      <w:pPr>
        <w:ind w:left="340" w:right="20" w:hanging="332"/>
        <w:spacing w:after="0" w:line="26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is 2 years from the date of closing and bears interest at 8% per annum, payable in kind for the first three months of the initial tranche.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right="2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HPC conversion feasibility assessment of all North American sites with two strategic partners, Appleby Strategy Group (“ASG”) and World Wide Technology (“WWT”), advancing HPC/AI business; and</w:t>
      </w: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and submitted Panther Creek HPC data center campus master site plans to Macquarie with a capacity up to 350 MW.</w:t>
      </w:r>
    </w:p>
    <w:p>
      <w:pPr>
        <w:spacing w:after="0" w:line="110"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line="187"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7420" w:firstLine="8"/>
        <w:spacing w:after="0" w:line="388" w:lineRule="auto"/>
        <w:tabs>
          <w:tab w:leader="none" w:pos="1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3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Borders>
              <w:bottom w:val="single" w:sz="8" w:color="auto"/>
            </w:tcBorders>
          </w:tcPr>
          <w:p>
            <w:pPr>
              <w:spacing w:after="0"/>
              <w:rPr>
                <w:sz w:val="18"/>
                <w:szCs w:val="18"/>
                <w:color w:val="auto"/>
              </w:rPr>
            </w:pPr>
          </w:p>
        </w:tc>
      </w:tr>
      <w:tr>
        <w:trPr>
          <w:trHeight w:val="210"/>
        </w:trPr>
        <w:tc>
          <w:tcPr>
            <w:tcW w:w="3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96"/>
              </w:rPr>
              <w:t>% Change</w:t>
            </w: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718</w:t>
            </w:r>
          </w:p>
        </w:tc>
        <w:tc>
          <w:tcPr>
            <w:tcW w:w="14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614</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1,411</w:t>
            </w: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1,557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BTC received through hosting revenue</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w:t>
            </w: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21</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19</w:t>
            </w:r>
          </w:p>
        </w:tc>
        <w:tc>
          <w:tcPr>
            <w:tcW w:w="14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w:t>
            </w:r>
          </w:p>
        </w:tc>
        <w:tc>
          <w:tcPr>
            <w:tcW w:w="13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Q2 2025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Q2 2024</w:t>
      </w:r>
    </w:p>
    <w:p>
      <w:pPr>
        <w:spacing w:after="0" w:line="31" w:lineRule="exact"/>
        <w:rPr>
          <w:sz w:val="20"/>
          <w:szCs w:val="20"/>
          <w:color w:val="auto"/>
        </w:rPr>
      </w:pPr>
    </w:p>
    <w:p>
      <w:pPr>
        <w:jc w:val="both"/>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 BTC earned in Q2 2025, compared to 614 BTC earned in Q2 2024, representing an increase of 17% as a result of an increase in Hashrate from the Company’s expansions and upgrades to its Miner fleet with additional and higher efficiency Miners, partially offset by a 45% increase in average Network Difficulty, the reduced block rewards following the April 2024 halving event and the halting of the electricity supply at the Company’s data center in Rio Cuarto in Q2 2025;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ending energy efficiency to 19 Watts/TH on June 30, 2025 compared to 28 Watts/TH on June 30, 2024, as a result of the Company upgrading its fleet with more efficient Miners. This improvement resulted in a 19 average Watts/Average TH efficiency during Q2 2025, compared to 28 average Watts/Average TH efficiency during Q2 2024, representing an improvement of 32%.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2025 v. YTD Q2 2024</w:t>
      </w:r>
    </w:p>
    <w:p>
      <w:pPr>
        <w:spacing w:after="0" w:line="31" w:lineRule="exact"/>
        <w:rPr>
          <w:sz w:val="20"/>
          <w:szCs w:val="20"/>
          <w:color w:val="auto"/>
        </w:rPr>
      </w:pPr>
    </w:p>
    <w:p>
      <w:pPr>
        <w:jc w:val="both"/>
        <w:ind w:left="660" w:hanging="328"/>
        <w:spacing w:after="0" w:line="250"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1,411 BTC earned during YTD Q2 2025, compared to 1,557 BTC earned during YTD Q2 2024, representing a decrease of 9% from the previous year as a result of reduced Block Rewards following the April 2024 halving event, a 44% increase in average Network Difficulty and the halting of the electricity supply at the Company’s data center in Rio Cuarto during Q2 2025, partially offset by an increase in Hashrate from the Company’s expansions and upgrades to its Miner fleet with higher efficiency Miners;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ending energy efficiency to 19 Watts/TH on June 30, 2025, compared to 28 Watts/TH on June 30, 2024, with the Company upgrading its Mining fleet. This improvement resulted in a 20 average Watts/Average TH efficiency during YTD Q2 2025, compared to 31 average Watts/Average TH efficiency during YTD Q2 2024, representing an improvement of 35%.</w:t>
      </w:r>
    </w:p>
    <w:p>
      <w:pPr>
        <w:spacing w:after="0" w:line="20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PRODUCTION AND MINING OPERATIONS </w:t>
      </w:r>
      <w:r>
        <w:rPr>
          <w:rFonts w:ascii="Times New Roman" w:cs="Times New Roman" w:eastAsia="Times New Roman" w:hAnsi="Times New Roman"/>
          <w:sz w:val="18"/>
          <w:szCs w:val="18"/>
          <w:color w:val="auto"/>
        </w:rPr>
        <w:t>(Continued)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6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240" w:type="dxa"/>
            <w:vAlign w:val="bottom"/>
            <w:tcBorders>
              <w:bottom w:val="single" w:sz="8" w:color="auto"/>
            </w:tcBorders>
          </w:tcPr>
          <w:p>
            <w:pPr>
              <w:spacing w:after="0"/>
              <w:rPr>
                <w:sz w:val="20"/>
                <w:szCs w:val="20"/>
                <w:color w:val="auto"/>
              </w:rPr>
            </w:pPr>
          </w:p>
        </w:tc>
      </w:tr>
      <w:tr>
        <w:trPr>
          <w:trHeight w:val="210"/>
        </w:trPr>
        <w:tc>
          <w:tcPr>
            <w:tcW w:w="50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3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17.7</w:t>
            </w:r>
          </w:p>
        </w:tc>
        <w:tc>
          <w:tcPr>
            <w:tcW w:w="16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3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w:t>
            </w: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energized capacity (MW)**</w:t>
            </w:r>
          </w:p>
        </w:tc>
        <w:tc>
          <w:tcPr>
            <w:tcW w:w="3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410</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Watts represents the energy consumption of deployed Miners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21 MW operated on behalf of a third party through a hosting contract at the Panther Creek Bitcoin data center (as of June 30, 2024: nil)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June 30, 2025 v. as of March 31, 2025</w:t>
      </w:r>
    </w:p>
    <w:p>
      <w:pPr>
        <w:spacing w:after="0" w:line="31" w:lineRule="exact"/>
        <w:rPr>
          <w:sz w:val="20"/>
          <w:szCs w:val="20"/>
          <w:color w:val="auto"/>
        </w:rPr>
      </w:pPr>
    </w:p>
    <w:p>
      <w:pPr>
        <w:jc w:val="both"/>
        <w:ind w:left="66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17.7 EH/s online as of June 30, 2025, compared to 19.5 EH/s online as of March 31, 2025, a decrease of 9%, as a result of the halting of the electricity supply at the Company’s data center in Rio Cuarto during Q2 2025, partially offset by the Company’s upgrade of its Miner fleet with higher efficiency Miners. Refer to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for more details on operations in Argentina.</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 MW energized capacity as of June 30, 2025, compared to 461 MW energized capacity as of March 31, 2025, a decrease of 11%, mainly due to the halting of the electricity supply at the Company’s data center in Rio Cuarto in May 2025 (resulting in a decrease of 58 MW).</w:t>
      </w:r>
    </w:p>
    <w:p>
      <w:pPr>
        <w:spacing w:after="0" w:line="200" w:lineRule="exact"/>
        <w:rPr>
          <w:sz w:val="20"/>
          <w:szCs w:val="20"/>
          <w:color w:val="auto"/>
        </w:rPr>
      </w:pPr>
    </w:p>
    <w:p>
      <w:pPr>
        <w:spacing w:after="0" w:line="238"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EXPANSION PROJECTS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describes its expansion plans below under the sections entitled “United States Expansion”, “Paraguay Expansion”, and “Canada Expansion”.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expansion projects do not include updates from 2024 or earlier.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operated 17.7 EH/s under Management across its facilities, a decrease of 1.8 EH/s, or 9%, compared to March 31, 2025. The decrease is attributed to the halting of the electricity supply at the Company’s data center in Rio Cuarto, partially offset by the installation of additional Miners mainly in the United States.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Through its expansion projects and the investment in its fleet upgrade, the Company achieved its initial 2025 targets of 18 EH/s operational and 19 w/TH installed in March 2025. With the shutdown of the Argentina facility, it is no longer feasible to achieve the 21 EH/s target on the Company’s originally anticipated timeline. The Company currently has no plans to increase its hashrate beyond the current operational hashrate of 17.7 EH/s. Refer to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(The Company’s operations in Rio Cuarto have been suspended due to a halt in its supply of electrical power on May 12,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prudently explore further opportunities to monetize and expand its infrastructure to create long-term value for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cost and supply of equipment, the ability to import equipment into countries where it operates in a cost-effective and timely manner, the supply of electrical and other supporting infrastructure equipment, the availability of construction materials, currency exchange rates and the impact of geopolitical events on the supply chains described above. The Company’s expansion plans rely on a consistent supply of electricity at cost-effective rates; refer to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Dependence on Regulated Terms of Service and Electricity Rates Risks) </w:t>
      </w:r>
      <w:r>
        <w:rPr>
          <w:rFonts w:ascii="Times New Roman" w:cs="Times New Roman" w:eastAsia="Times New Roman" w:hAnsi="Times New Roman"/>
          <w:sz w:val="18"/>
          <w:szCs w:val="18"/>
          <w:color w:val="auto"/>
        </w:rPr>
        <w:t>of the MD&amp;A for the year ended December 31, 2024, dated March 26, 2025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details, including a description of these and other factors.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Upgrade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fleet upgrade plan described below underpinned the Company’s 2024 expansion strategy. Securing additional Miners was anticipated to benefit the Company by capitalizing on higher Bitcoin prices and drive rapid and meaningful improvements across three key operating metrics: Hashrate, energy efficiency and operating costs per TH.</w:t>
      </w:r>
    </w:p>
    <w:p>
      <w:pPr>
        <w:spacing w:after="0" w:line="200" w:lineRule="exact"/>
        <w:rPr>
          <w:sz w:val="20"/>
          <w:szCs w:val="20"/>
          <w:color w:val="auto"/>
        </w:rPr>
      </w:pPr>
    </w:p>
    <w:p>
      <w:pPr>
        <w:spacing w:after="0" w:line="215" w:lineRule="exact"/>
        <w:rPr>
          <w:sz w:val="20"/>
          <w:szCs w:val="20"/>
          <w:color w:val="auto"/>
        </w:rPr>
      </w:pPr>
    </w:p>
    <w:p>
      <w:pPr>
        <w:jc w:val="both"/>
        <w:ind w:left="10440"/>
        <w:spacing w:after="0"/>
        <w:tabs>
          <w:tab w:leader="none" w:pos="1088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Fleet Upgrade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status of the latest Miner orders as of August 11,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Borders>
              <w:top w:val="single" w:sz="8" w:color="auto"/>
            </w:tcBorders>
          </w:tcPr>
          <w:p>
            <w:pPr>
              <w:spacing w:after="0"/>
              <w:rPr>
                <w:sz w:val="18"/>
                <w:szCs w:val="18"/>
                <w:color w:val="auto"/>
              </w:rPr>
            </w:pPr>
          </w:p>
        </w:tc>
        <w:tc>
          <w:tcPr>
            <w:tcW w:w="1710" w:type="dxa"/>
            <w:vAlign w:val="bottom"/>
            <w:tcBorders>
              <w:top w:val="single" w:sz="8" w:color="auto"/>
            </w:tcBorders>
          </w:tcPr>
          <w:p>
            <w:pPr>
              <w:spacing w:after="0"/>
              <w:rPr>
                <w:sz w:val="18"/>
                <w:szCs w:val="18"/>
                <w:color w:val="auto"/>
              </w:rPr>
            </w:pPr>
          </w:p>
        </w:tc>
        <w:tc>
          <w:tcPr>
            <w:tcW w:w="201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122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710" w:type="dxa"/>
            <w:vAlign w:val="bottom"/>
          </w:tcPr>
          <w:p>
            <w:pPr>
              <w:spacing w:after="0"/>
              <w:rPr>
                <w:sz w:val="16"/>
                <w:szCs w:val="16"/>
                <w:color w:val="auto"/>
              </w:rPr>
            </w:pPr>
          </w:p>
        </w:tc>
        <w:tc>
          <w:tcPr>
            <w:tcW w:w="2010" w:type="dxa"/>
            <w:vAlign w:val="bottom"/>
          </w:tcPr>
          <w:p>
            <w:pPr>
              <w:spacing w:after="0"/>
              <w:rPr>
                <w:sz w:val="16"/>
                <w:szCs w:val="16"/>
                <w:color w:val="auto"/>
              </w:rPr>
            </w:pP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Quantity</w:t>
            </w:r>
            <w:r>
              <w:rPr>
                <w:rFonts w:ascii="Times New Roman" w:cs="Times New Roman" w:eastAsia="Times New Roman" w:hAnsi="Times New Roman"/>
                <w:sz w:val="29"/>
                <w:szCs w:val="29"/>
                <w:b w:val="1"/>
                <w:bCs w:val="1"/>
                <w:color w:val="auto"/>
                <w:vertAlign w:val="superscript"/>
              </w:rPr>
              <w:t>1</w:t>
            </w:r>
          </w:p>
        </w:tc>
        <w:tc>
          <w:tcPr>
            <w:tcW w:w="1860" w:type="dxa"/>
            <w:vAlign w:val="bottom"/>
          </w:tcPr>
          <w:p>
            <w:pPr>
              <w:spacing w:after="0"/>
              <w:rPr>
                <w:sz w:val="16"/>
                <w:szCs w:val="16"/>
                <w:color w:val="auto"/>
              </w:rPr>
            </w:pPr>
          </w:p>
        </w:tc>
        <w:tc>
          <w:tcPr>
            <w:tcW w:w="1480" w:type="dxa"/>
            <w:vAlign w:val="bottom"/>
          </w:tcPr>
          <w:p>
            <w:pPr>
              <w:jc w:val="right"/>
              <w:ind w:right="430"/>
              <w:spacing w:after="0" w:line="184" w:lineRule="exact"/>
              <w:rPr>
                <w:sz w:val="20"/>
                <w:szCs w:val="20"/>
                <w:color w:val="auto"/>
              </w:rPr>
            </w:pPr>
            <w:r>
              <w:rPr>
                <w:rFonts w:ascii="Times New Roman" w:cs="Times New Roman" w:eastAsia="Times New Roman" w:hAnsi="Times New Roman"/>
                <w:sz w:val="18"/>
                <w:szCs w:val="18"/>
                <w:b w:val="1"/>
                <w:bCs w:val="1"/>
                <w:color w:val="auto"/>
              </w:rPr>
              <w:t>Miners</w:t>
            </w:r>
          </w:p>
        </w:tc>
        <w:tc>
          <w:tcPr>
            <w:tcW w:w="1300" w:type="dxa"/>
            <w:vAlign w:val="bottom"/>
            <w:vMerge w:val="continue"/>
          </w:tcPr>
          <w:p>
            <w:pPr>
              <w:spacing w:after="0"/>
              <w:rPr>
                <w:sz w:val="16"/>
                <w:szCs w:val="16"/>
                <w:color w:val="auto"/>
              </w:rPr>
            </w:pPr>
          </w:p>
        </w:tc>
        <w:tc>
          <w:tcPr>
            <w:tcW w:w="12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Miners to</w:t>
            </w:r>
          </w:p>
        </w:tc>
        <w:tc>
          <w:tcPr>
            <w:tcW w:w="0" w:type="dxa"/>
            <w:vAlign w:val="bottom"/>
          </w:tcPr>
          <w:p>
            <w:pPr>
              <w:spacing w:after="0"/>
              <w:rPr>
                <w:sz w:val="1"/>
                <w:szCs w:val="1"/>
                <w:color w:val="auto"/>
              </w:rPr>
            </w:pPr>
          </w:p>
        </w:tc>
      </w:tr>
      <w:tr>
        <w:trPr>
          <w:trHeight w:val="270"/>
        </w:trPr>
        <w:tc>
          <w:tcPr>
            <w:tcW w:w="197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10" w:type="dxa"/>
            <w:vAlign w:val="bottom"/>
          </w:tcPr>
          <w:p>
            <w:pPr>
              <w:ind w:left="810"/>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400" w:type="dxa"/>
            <w:vAlign w:val="bottom"/>
            <w:vMerge w:val="continue"/>
          </w:tcPr>
          <w:p>
            <w:pPr>
              <w:spacing w:after="0"/>
              <w:rPr>
                <w:sz w:val="23"/>
                <w:szCs w:val="23"/>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1300" w:type="dxa"/>
            <w:vAlign w:val="bottom"/>
          </w:tcPr>
          <w:p>
            <w:pPr>
              <w:jc w:val="right"/>
              <w:ind w:right="390"/>
              <w:spacing w:after="0" w:line="270" w:lineRule="exact"/>
              <w:rPr>
                <w:sz w:val="20"/>
                <w:szCs w:val="20"/>
                <w:color w:val="auto"/>
              </w:rPr>
            </w:pPr>
            <w:r>
              <w:rPr>
                <w:rFonts w:ascii="Times New Roman" w:cs="Times New Roman" w:eastAsia="Times New Roman" w:hAnsi="Times New Roman"/>
                <w:sz w:val="18"/>
                <w:szCs w:val="18"/>
                <w:b w:val="1"/>
                <w:bCs w:val="1"/>
                <w:color w:val="auto"/>
              </w:rPr>
              <w:t>(EH/s)</w:t>
            </w:r>
            <w:r>
              <w:rPr>
                <w:rFonts w:ascii="Times New Roman" w:cs="Times New Roman" w:eastAsia="Times New Roman" w:hAnsi="Times New Roman"/>
                <w:sz w:val="29"/>
                <w:szCs w:val="29"/>
                <w:b w:val="1"/>
                <w:bCs w:val="1"/>
                <w:color w:val="auto"/>
                <w:vertAlign w:val="superscript"/>
              </w:rPr>
              <w:t>2</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Receive</w:t>
            </w:r>
          </w:p>
        </w:tc>
        <w:tc>
          <w:tcPr>
            <w:tcW w:w="0" w:type="dxa"/>
            <w:vAlign w:val="bottom"/>
          </w:tcPr>
          <w:p>
            <w:pPr>
              <w:spacing w:after="0"/>
              <w:rPr>
                <w:sz w:val="1"/>
                <w:szCs w:val="1"/>
                <w:color w:val="auto"/>
              </w:rPr>
            </w:pPr>
          </w:p>
        </w:tc>
      </w:tr>
      <w:tr>
        <w:trPr>
          <w:trHeight w:val="209"/>
        </w:trPr>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Q4</w:t>
            </w:r>
          </w:p>
        </w:tc>
        <w:tc>
          <w:tcPr>
            <w:tcW w:w="171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10" w:type="dxa"/>
            <w:vAlign w:val="bottom"/>
            <w:tcBorders>
              <w:top w:val="single" w:sz="8" w:color="auto"/>
              <w:bottom w:val="single" w:sz="8" w:color="auto"/>
            </w:tcBorders>
            <w:shd w:val="clear" w:color="auto" w:fill="CCEEFF"/>
          </w:tcPr>
          <w:p>
            <w:pPr>
              <w:ind w:left="90"/>
              <w:spacing w:after="0"/>
              <w:rPr>
                <w:sz w:val="20"/>
                <w:szCs w:val="20"/>
                <w:color w:val="auto"/>
              </w:rPr>
            </w:pPr>
            <w:r>
              <w:rPr>
                <w:rFonts w:ascii="Times New Roman" w:cs="Times New Roman" w:eastAsia="Times New Roman" w:hAnsi="Times New Roman"/>
                <w:sz w:val="18"/>
                <w:szCs w:val="18"/>
                <w:color w:val="auto"/>
              </w:rPr>
              <w:t>Purchase Order</w:t>
            </w:r>
          </w:p>
        </w:tc>
        <w:tc>
          <w:tcPr>
            <w:tcW w:w="1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35,898</w:t>
            </w:r>
          </w:p>
        </w:tc>
        <w:tc>
          <w:tcPr>
            <w:tcW w:w="18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Bitmain T21</w:t>
            </w:r>
          </w:p>
        </w:tc>
        <w:tc>
          <w:tcPr>
            <w:tcW w:w="14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35,898</w:t>
            </w:r>
          </w:p>
        </w:tc>
        <w:tc>
          <w:tcPr>
            <w:tcW w:w="1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6.8</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Q1</w:t>
            </w:r>
          </w:p>
        </w:tc>
        <w:tc>
          <w:tcPr>
            <w:tcW w:w="171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2024 (amended Q4</w:t>
            </w:r>
          </w:p>
        </w:tc>
        <w:tc>
          <w:tcPr>
            <w:tcW w:w="2010" w:type="dxa"/>
            <w:vAlign w:val="bottom"/>
          </w:tcPr>
          <w:p>
            <w:pPr>
              <w:ind w:left="90"/>
              <w:spacing w:after="0" w:line="191" w:lineRule="exact"/>
              <w:rPr>
                <w:sz w:val="20"/>
                <w:szCs w:val="20"/>
                <w:color w:val="auto"/>
              </w:rPr>
            </w:pPr>
            <w:r>
              <w:rPr>
                <w:rFonts w:ascii="Times New Roman" w:cs="Times New Roman" w:eastAsia="Times New Roman" w:hAnsi="Times New Roman"/>
                <w:sz w:val="18"/>
                <w:szCs w:val="18"/>
                <w:color w:val="auto"/>
              </w:rPr>
              <w:t>Purchase Option</w:t>
            </w:r>
          </w:p>
        </w:tc>
        <w:tc>
          <w:tcPr>
            <w:tcW w:w="1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22,234</w:t>
            </w: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4.2</w:t>
            </w:r>
          </w:p>
        </w:tc>
        <w:tc>
          <w:tcPr>
            <w:tcW w:w="1220" w:type="dxa"/>
            <w:vAlign w:val="bottom"/>
            <w:gridSpan w:val="3"/>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2"/>
        </w:trPr>
        <w:tc>
          <w:tcPr>
            <w:tcW w:w="197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2010" w:type="dxa"/>
            <w:vAlign w:val="bottom"/>
          </w:tcPr>
          <w:p>
            <w:pPr>
              <w:ind w:left="90"/>
              <w:spacing w:after="0"/>
              <w:rPr>
                <w:sz w:val="20"/>
                <w:szCs w:val="20"/>
                <w:color w:val="auto"/>
              </w:rPr>
            </w:pPr>
            <w:r>
              <w:rPr>
                <w:rFonts w:ascii="Times New Roman" w:cs="Times New Roman" w:eastAsia="Times New Roman" w:hAnsi="Times New Roman"/>
                <w:sz w:val="18"/>
                <w:szCs w:val="18"/>
                <w:color w:val="auto"/>
              </w:rPr>
              <w:t>(amended Q4 2024)</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22,234</w:t>
            </w: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Bitmain T21</w:t>
            </w:r>
          </w:p>
        </w:tc>
        <w:tc>
          <w:tcPr>
            <w:tcW w:w="14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1710" w:type="dxa"/>
            <w:vAlign w:val="bottom"/>
          </w:tcPr>
          <w:p>
            <w:pPr>
              <w:spacing w:after="0"/>
              <w:rPr>
                <w:sz w:val="20"/>
                <w:szCs w:val="20"/>
                <w:color w:val="auto"/>
              </w:rPr>
            </w:pPr>
          </w:p>
        </w:tc>
        <w:tc>
          <w:tcPr>
            <w:tcW w:w="201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6,000</w:t>
            </w: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Bitmain S21 Pro</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6,000</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w:t>
            </w:r>
          </w:p>
        </w:tc>
        <w:tc>
          <w:tcPr>
            <w:tcW w:w="122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60" w:type="dxa"/>
            <w:vAlign w:val="bottom"/>
            <w:tcBorders>
              <w:top w:val="single" w:sz="8" w:color="auto"/>
            </w:tcBorders>
          </w:tcPr>
          <w:p>
            <w:pPr>
              <w:spacing w:after="0"/>
              <w:rPr>
                <w:sz w:val="18"/>
                <w:szCs w:val="18"/>
                <w:color w:val="auto"/>
              </w:rPr>
            </w:pPr>
          </w:p>
        </w:tc>
        <w:tc>
          <w:tcPr>
            <w:tcW w:w="1710" w:type="dxa"/>
            <w:vAlign w:val="bottom"/>
            <w:tcBorders>
              <w:top w:val="single" w:sz="8" w:color="auto"/>
            </w:tcBorders>
          </w:tcPr>
          <w:p>
            <w:pPr>
              <w:spacing w:after="0"/>
              <w:rPr>
                <w:sz w:val="18"/>
                <w:szCs w:val="18"/>
                <w:color w:val="auto"/>
              </w:rPr>
            </w:pPr>
          </w:p>
        </w:tc>
        <w:tc>
          <w:tcPr>
            <w:tcW w:w="201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28,234</w:t>
            </w:r>
          </w:p>
        </w:tc>
        <w:tc>
          <w:tcPr>
            <w:tcW w:w="18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28,234</w:t>
            </w: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w:t>
            </w:r>
          </w:p>
        </w:tc>
        <w:tc>
          <w:tcPr>
            <w:tcW w:w="1140" w:type="dxa"/>
            <w:vAlign w:val="bottom"/>
            <w:tcBorders>
              <w:top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Q1</w:t>
            </w:r>
          </w:p>
        </w:tc>
        <w:tc>
          <w:tcPr>
            <w:tcW w:w="171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2010" w:type="dxa"/>
            <w:vAlign w:val="bottom"/>
            <w:tcBorders>
              <w:top w:val="single" w:sz="8" w:color="auto"/>
            </w:tcBorders>
            <w:shd w:val="clear" w:color="auto" w:fill="CCEEFF"/>
          </w:tcPr>
          <w:p>
            <w:pPr>
              <w:ind w:left="90"/>
              <w:spacing w:after="0" w:line="191" w:lineRule="exact"/>
              <w:rPr>
                <w:sz w:val="20"/>
                <w:szCs w:val="20"/>
                <w:color w:val="auto"/>
              </w:rPr>
            </w:pPr>
            <w:r>
              <w:rPr>
                <w:rFonts w:ascii="Times New Roman" w:cs="Times New Roman" w:eastAsia="Times New Roman" w:hAnsi="Times New Roman"/>
                <w:sz w:val="18"/>
                <w:szCs w:val="18"/>
                <w:color w:val="auto"/>
              </w:rPr>
              <w:t>March 2024</w:t>
            </w:r>
          </w:p>
        </w:tc>
        <w:tc>
          <w:tcPr>
            <w:tcW w:w="140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7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Q4 2024)</w:t>
            </w:r>
          </w:p>
        </w:tc>
        <w:tc>
          <w:tcPr>
            <w:tcW w:w="2010" w:type="dxa"/>
            <w:vAlign w:val="bottom"/>
            <w:shd w:val="clear" w:color="auto" w:fill="CCEEFF"/>
          </w:tcPr>
          <w:p>
            <w:pPr>
              <w:ind w:left="90"/>
              <w:spacing w:after="0"/>
              <w:rPr>
                <w:sz w:val="20"/>
                <w:szCs w:val="20"/>
                <w:color w:val="auto"/>
              </w:rPr>
            </w:pPr>
            <w:r>
              <w:rPr>
                <w:rFonts w:ascii="Times New Roman" w:cs="Times New Roman" w:eastAsia="Times New Roman" w:hAnsi="Times New Roman"/>
                <w:sz w:val="18"/>
                <w:szCs w:val="18"/>
                <w:color w:val="auto"/>
              </w:rPr>
              <w:t>Purchase Order</w:t>
            </w:r>
          </w:p>
        </w:tc>
        <w:tc>
          <w:tcPr>
            <w:tcW w:w="1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6,475</w:t>
            </w:r>
          </w:p>
        </w:tc>
        <w:tc>
          <w:tcPr>
            <w:tcW w:w="13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w:t>
            </w:r>
          </w:p>
        </w:tc>
        <w:tc>
          <w:tcPr>
            <w:tcW w:w="1220" w:type="dxa"/>
            <w:vAlign w:val="bottom"/>
            <w:gridSpan w:val="3"/>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1710" w:type="dxa"/>
            <w:vAlign w:val="bottom"/>
            <w:shd w:val="clear" w:color="auto" w:fill="CCEEFF"/>
          </w:tcPr>
          <w:p>
            <w:pPr>
              <w:spacing w:after="0"/>
              <w:rPr>
                <w:sz w:val="20"/>
                <w:szCs w:val="20"/>
                <w:color w:val="auto"/>
              </w:rPr>
            </w:pPr>
          </w:p>
        </w:tc>
        <w:tc>
          <w:tcPr>
            <w:tcW w:w="2010" w:type="dxa"/>
            <w:vAlign w:val="bottom"/>
            <w:shd w:val="clear" w:color="auto" w:fill="CCEEFF"/>
          </w:tcPr>
          <w:p>
            <w:pPr>
              <w:ind w:left="90"/>
              <w:spacing w:after="0"/>
              <w:rPr>
                <w:sz w:val="20"/>
                <w:szCs w:val="20"/>
                <w:color w:val="auto"/>
              </w:rPr>
            </w:pPr>
            <w:r>
              <w:rPr>
                <w:rFonts w:ascii="Times New Roman" w:cs="Times New Roman" w:eastAsia="Times New Roman" w:hAnsi="Times New Roman"/>
                <w:sz w:val="18"/>
                <w:szCs w:val="18"/>
                <w:color w:val="auto"/>
              </w:rPr>
              <w:t>(amended Q4 2024)</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6,475</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Bitmain T21</w:t>
            </w:r>
          </w:p>
        </w:tc>
        <w:tc>
          <w:tcPr>
            <w:tcW w:w="148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2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710" w:type="dxa"/>
            <w:vAlign w:val="bottom"/>
            <w:shd w:val="clear" w:color="auto" w:fill="CCEEFF"/>
          </w:tcPr>
          <w:p>
            <w:pPr>
              <w:spacing w:after="0"/>
              <w:rPr>
                <w:sz w:val="18"/>
                <w:szCs w:val="18"/>
                <w:color w:val="auto"/>
              </w:rPr>
            </w:pPr>
          </w:p>
        </w:tc>
        <w:tc>
          <w:tcPr>
            <w:tcW w:w="201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12,700</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Bitmain S21 Pro</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12,700</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12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710" w:type="dxa"/>
            <w:vAlign w:val="bottom"/>
            <w:shd w:val="clear" w:color="auto" w:fill="CCEEFF"/>
          </w:tcPr>
          <w:p>
            <w:pPr>
              <w:spacing w:after="0"/>
              <w:rPr>
                <w:sz w:val="18"/>
                <w:szCs w:val="18"/>
                <w:color w:val="auto"/>
              </w:rPr>
            </w:pPr>
          </w:p>
        </w:tc>
        <w:tc>
          <w:tcPr>
            <w:tcW w:w="201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3,975</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Bitmain S21</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c>
          <w:tcPr>
            <w:tcW w:w="12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710" w:type="dxa"/>
            <w:vAlign w:val="bottom"/>
            <w:shd w:val="clear" w:color="auto" w:fill="CCEEFF"/>
          </w:tcPr>
          <w:p>
            <w:pPr>
              <w:spacing w:after="0"/>
              <w:rPr>
                <w:sz w:val="18"/>
                <w:szCs w:val="18"/>
                <w:color w:val="auto"/>
              </w:rPr>
            </w:pPr>
          </w:p>
        </w:tc>
        <w:tc>
          <w:tcPr>
            <w:tcW w:w="201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762</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Bitmain S21 hydro</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762</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0.3</w:t>
            </w:r>
          </w:p>
        </w:tc>
        <w:tc>
          <w:tcPr>
            <w:tcW w:w="12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710" w:type="dxa"/>
            <w:vAlign w:val="bottom"/>
            <w:tcBorders>
              <w:top w:val="single" w:sz="8" w:color="auto"/>
              <w:bottom w:val="single" w:sz="8" w:color="auto"/>
            </w:tcBorders>
            <w:shd w:val="clear" w:color="auto" w:fill="CCEEFF"/>
          </w:tcPr>
          <w:p>
            <w:pPr>
              <w:spacing w:after="0"/>
              <w:rPr>
                <w:sz w:val="18"/>
                <w:szCs w:val="18"/>
                <w:color w:val="auto"/>
              </w:rPr>
            </w:pPr>
          </w:p>
        </w:tc>
        <w:tc>
          <w:tcPr>
            <w:tcW w:w="201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23,912</w:t>
            </w:r>
          </w:p>
        </w:tc>
        <w:tc>
          <w:tcPr>
            <w:tcW w:w="18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23,912</w:t>
            </w:r>
          </w:p>
        </w:tc>
        <w:tc>
          <w:tcPr>
            <w:tcW w:w="1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Q1</w:t>
            </w:r>
          </w:p>
        </w:tc>
        <w:tc>
          <w:tcPr>
            <w:tcW w:w="171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2010" w:type="dxa"/>
            <w:vAlign w:val="bottom"/>
          </w:tcPr>
          <w:p>
            <w:pPr>
              <w:ind w:left="90"/>
              <w:spacing w:after="0" w:line="188" w:lineRule="exact"/>
              <w:rPr>
                <w:sz w:val="20"/>
                <w:szCs w:val="20"/>
                <w:color w:val="auto"/>
              </w:rPr>
            </w:pPr>
            <w:r>
              <w:rPr>
                <w:rFonts w:ascii="Times New Roman" w:cs="Times New Roman" w:eastAsia="Times New Roman" w:hAnsi="Times New Roman"/>
                <w:sz w:val="18"/>
                <w:szCs w:val="18"/>
                <w:color w:val="auto"/>
              </w:rPr>
              <w:t>March 2025 Miners Swap</w:t>
            </w:r>
          </w:p>
        </w:tc>
        <w:tc>
          <w:tcPr>
            <w:tcW w:w="14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(4,160)</w:t>
            </w:r>
          </w:p>
        </w:tc>
        <w:tc>
          <w:tcPr>
            <w:tcW w:w="186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Bitmain T21</w:t>
            </w:r>
          </w:p>
        </w:tc>
        <w:tc>
          <w:tcPr>
            <w:tcW w:w="14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(4,160)</w:t>
            </w:r>
          </w:p>
        </w:tc>
        <w:tc>
          <w:tcPr>
            <w:tcW w:w="13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(0.8)</w:t>
            </w:r>
          </w:p>
        </w:tc>
        <w:tc>
          <w:tcPr>
            <w:tcW w:w="1120" w:type="dxa"/>
            <w:vAlign w:val="bottom"/>
          </w:tcPr>
          <w:p>
            <w:pPr>
              <w:ind w:left="940"/>
              <w:spacing w:after="0" w:line="18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1710" w:type="dxa"/>
            <w:vAlign w:val="bottom"/>
          </w:tcPr>
          <w:p>
            <w:pPr>
              <w:spacing w:after="0"/>
              <w:rPr>
                <w:sz w:val="20"/>
                <w:szCs w:val="20"/>
                <w:color w:val="auto"/>
              </w:rPr>
            </w:pPr>
          </w:p>
        </w:tc>
        <w:tc>
          <w:tcPr>
            <w:tcW w:w="201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3,440</w:t>
            </w: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Bitmain S21+</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3,440</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0.8</w:t>
            </w:r>
          </w:p>
        </w:tc>
        <w:tc>
          <w:tcPr>
            <w:tcW w:w="122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tcBorders>
          </w:tcPr>
          <w:p>
            <w:pPr>
              <w:spacing w:after="0"/>
              <w:rPr>
                <w:sz w:val="18"/>
                <w:szCs w:val="18"/>
                <w:color w:val="auto"/>
              </w:rPr>
            </w:pPr>
          </w:p>
        </w:tc>
        <w:tc>
          <w:tcPr>
            <w:tcW w:w="1710" w:type="dxa"/>
            <w:vAlign w:val="bottom"/>
            <w:tcBorders>
              <w:top w:val="single" w:sz="8" w:color="auto"/>
            </w:tcBorders>
          </w:tcPr>
          <w:p>
            <w:pPr>
              <w:spacing w:after="0"/>
              <w:rPr>
                <w:sz w:val="18"/>
                <w:szCs w:val="18"/>
                <w:color w:val="auto"/>
              </w:rPr>
            </w:pPr>
          </w:p>
        </w:tc>
        <w:tc>
          <w:tcPr>
            <w:tcW w:w="201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8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(720)</w:t>
            </w: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Q3</w:t>
            </w:r>
          </w:p>
        </w:tc>
        <w:tc>
          <w:tcPr>
            <w:tcW w:w="171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10" w:type="dxa"/>
            <w:vAlign w:val="bottom"/>
            <w:tcBorders>
              <w:top w:val="single" w:sz="8" w:color="auto"/>
            </w:tcBorders>
            <w:shd w:val="clear" w:color="auto" w:fill="CCEEFF"/>
          </w:tcPr>
          <w:p>
            <w:pPr>
              <w:ind w:left="90"/>
              <w:spacing w:after="0"/>
              <w:rPr>
                <w:sz w:val="20"/>
                <w:szCs w:val="20"/>
                <w:color w:val="auto"/>
              </w:rPr>
            </w:pPr>
            <w:r>
              <w:rPr>
                <w:rFonts w:ascii="Times New Roman" w:cs="Times New Roman" w:eastAsia="Times New Roman" w:hAnsi="Times New Roman"/>
                <w:sz w:val="18"/>
                <w:szCs w:val="18"/>
                <w:color w:val="auto"/>
              </w:rPr>
              <w:t>July 2025 Miners Swap</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8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Bitmain T21</w:t>
            </w:r>
          </w:p>
        </w:tc>
        <w:tc>
          <w:tcPr>
            <w:tcW w:w="14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(10,467)</w:t>
            </w:r>
          </w:p>
        </w:tc>
        <w:tc>
          <w:tcPr>
            <w:tcW w:w="1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w:t>
            </w: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710" w:type="dxa"/>
            <w:vAlign w:val="bottom"/>
            <w:shd w:val="clear" w:color="auto" w:fill="CCEEFF"/>
          </w:tcPr>
          <w:p>
            <w:pPr>
              <w:spacing w:after="0"/>
              <w:rPr>
                <w:sz w:val="18"/>
                <w:szCs w:val="18"/>
                <w:color w:val="auto"/>
              </w:rPr>
            </w:pPr>
          </w:p>
        </w:tc>
        <w:tc>
          <w:tcPr>
            <w:tcW w:w="201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8,585</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Bitmain S21+</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8,585</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w:t>
            </w:r>
          </w:p>
        </w:tc>
        <w:tc>
          <w:tcPr>
            <w:tcW w:w="12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710" w:type="dxa"/>
            <w:vAlign w:val="bottom"/>
            <w:tcBorders>
              <w:top w:val="single" w:sz="8" w:color="auto"/>
              <w:bottom w:val="single" w:sz="8" w:color="auto"/>
            </w:tcBorders>
            <w:shd w:val="clear" w:color="auto" w:fill="CCEEFF"/>
          </w:tcPr>
          <w:p>
            <w:pPr>
              <w:spacing w:after="0"/>
              <w:rPr>
                <w:sz w:val="18"/>
                <w:szCs w:val="18"/>
                <w:color w:val="auto"/>
              </w:rPr>
            </w:pPr>
          </w:p>
        </w:tc>
        <w:tc>
          <w:tcPr>
            <w:tcW w:w="201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8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(1,882)</w:t>
            </w:r>
          </w:p>
        </w:tc>
        <w:tc>
          <w:tcPr>
            <w:tcW w:w="1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(0.1)</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0" w:type="dxa"/>
            <w:vAlign w:val="bottom"/>
            <w:tcBorders>
              <w:bottom w:val="single" w:sz="8" w:color="auto"/>
            </w:tcBorders>
            <w:shd w:val="clear" w:color="auto" w:fill="CCEEFF"/>
          </w:tcPr>
          <w:p>
            <w:pPr>
              <w:spacing w:after="0"/>
              <w:rPr>
                <w:sz w:val="18"/>
                <w:szCs w:val="18"/>
                <w:color w:val="auto"/>
              </w:rPr>
            </w:pPr>
          </w:p>
        </w:tc>
        <w:tc>
          <w:tcPr>
            <w:tcW w:w="1710" w:type="dxa"/>
            <w:vAlign w:val="bottom"/>
            <w:tcBorders>
              <w:bottom w:val="single" w:sz="8" w:color="auto"/>
            </w:tcBorders>
            <w:shd w:val="clear" w:color="auto" w:fill="CCEEFF"/>
          </w:tcPr>
          <w:p>
            <w:pPr>
              <w:spacing w:after="0"/>
              <w:rPr>
                <w:sz w:val="18"/>
                <w:szCs w:val="18"/>
                <w:color w:val="auto"/>
              </w:rPr>
            </w:pPr>
          </w:p>
        </w:tc>
        <w:tc>
          <w:tcPr>
            <w:tcW w:w="201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85,442</w:t>
            </w:r>
          </w:p>
        </w:tc>
        <w:tc>
          <w:tcPr>
            <w:tcW w:w="18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85,442</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17.7</w:t>
            </w:r>
          </w:p>
        </w:tc>
        <w:tc>
          <w:tcPr>
            <w:tcW w:w="11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total Hashrate from the Miners received corresponds to the total Hashrate specified in the agreements. The quantity of Miners received may vary based on the individual Hashrate specifications of each Miner.</w:t>
      </w:r>
    </w:p>
    <w:p>
      <w:pPr>
        <w:ind w:left="340" w:hanging="332"/>
        <w:spacing w:after="0" w:line="181" w:lineRule="auto"/>
        <w:tabs>
          <w:tab w:leader="none" w:pos="340"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Hashrate is based on the average Miner specifications stated in the purchase agreements and the Company’s actual realized Hashrate may differ.</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with the March 2025 Swap Order, the Company returned 4,160 Bitmain T21 Miners and purchased 3,660 Bitmain S21+ Miners. In consideration for the returned products, the Company received a credit of $9.5 million which was applied against the purchase price of $11.9 million. In March 2025, the Company paid the net $2.4 million in BTC which can be redeemed on a quarterly basis (i.e., 29 BTC Pledged). In the March 2025 Swap Order, 3,440 S21+ miners were received which corresponds to the hashrate specified in the initial agreement. As of June 30, 2025, all Miners of the March 2025 Swap Order were received and the equipment prepayment amount was nil.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exercised the option to redeem the first installment of the BTC Pledged and redeemed 7 BTC for $0.6 million or $81,000 per BTC.</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July 2025, an exchange agreement was signed to return 10,467 Bitmain T21 Miners. In consideration for the returned Miners, Bitmain will refund the Company with a credit of $23.9 million. Simultaneously, the Company placed another purchase order (“July 2025 Miners Swap”) for 8,585 Bitmain S21+ Miners at a purchase price of $29.9M. The Company plans to sell all of these Bitmain S21+ Miners. The Company paid the net balance of $6.0 million in BTC that can be repurchased in four quarterly installments at a predetermined price of $108,950 per BTC.</w:t>
      </w:r>
    </w:p>
    <w:p>
      <w:pPr>
        <w:spacing w:after="0" w:line="200" w:lineRule="exact"/>
        <w:rPr>
          <w:sz w:val="20"/>
          <w:szCs w:val="20"/>
          <w:color w:val="auto"/>
        </w:rPr>
      </w:pPr>
    </w:p>
    <w:p>
      <w:pPr>
        <w:spacing w:after="0" w:line="209"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10</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Fleet Upgrade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March 2024 Purchase Order, combined with the Purchase Order and Purchase Option, enabled the Company to reach 19.5 EH/s operating capacity and 19 w/TH efficiency in Q1 2025. The Company intends to continue liquidating older, less efficient Miners to offset the cost of the capital expenditure. During YTD Q2 2025, the Company sold 17,176 older generation Miners to third parties for approximately $2.5 million. Refer to Note 11 to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Stronghold and Yguazu data centers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Stronghold Transaction and the Yguazu Sale (as defined below) enabled the Company to rebalance its portfolio of MW to approximately 70% in North America and 30% outside of North America and is expected to reduce the Company’s average energy costs per kWh by up to 10%. Proceeds from the transaction will be reinvested towards its 1.3 GW growth pipeline as part of the Company’s planned United States expansion for HPC/AI infrastructure, which marks a significant milestone in the Company’s transition from an international Bitcoin miner to a North American energy and compute infrastructure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HPC/AI Business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2025, the Company engaged two established consultants in HPC/AI, ASG and WWT, to conduct independent evaluations of the Company’s data centers and energy assets for potential partial or total conversion to HPC/AI. In parallel, ASG and WWT is conducting feasibility assessments, data center engineering, site map planning, construction budgeting, and help build accelerated sales and development strategies. Combined, they will support the building of the Company’s operational capabilities and will market the Company’s sites to potential HPC/AI customers.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2025, the first phase of the feasibility assessments from WWT were provided to the Company and confirmed the suitability of all US sites and most Canadian sites for potential conversion to HPC/AI.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2025, the Company completed and submitted Panther Creek HPC data center campus master site plans to Macquarie, with a capacity up to 350 MW.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Company engaged T5 Data Centers to oversee construction as the Owners Representative for the Panther Creek HPC development following a thorough review process with multiple data center developers. T5 Data Centers was chosen for their experience developing HPC data centers and their unique end-to-end services offering. As Owners Representative for the site, T5 Data Centers will be responsible for managing all of the contracting, permitting and construction for the Panther Creek data center campus.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8, 2025, the Company entered into a binding purchase agreement for 181 acres of contiguous land at the Panther Creek campus for $3.5 million, which is more than sufficient land for multiple phases of HPC/AI development.</w:t>
      </w:r>
    </w:p>
    <w:p>
      <w:pPr>
        <w:spacing w:after="0" w:line="39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Development of HPC/AI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Macquarie Credit Facility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2025, the Company entered into an agreement for a credit facility up to $300.0 million from Macquarie for HPC development and drew down the initial tranche of $50.0 million. The Company issued 5,330,946 warrants convertible for a fixed number of common shares and paid $3.2 million in transaction fees which will be deferred and/or amortized over the term of the credit facility.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tranche of the credit facility will allow the Company to draw up to an additional $250.0 million and will be drawable as the Company achieves specific development milestones at its Panther Creek location. The Company will contribute $50.0 million in kind, or in cash, and issue additional warrants equivalent to 10% of the amount drawn up to $125.0 million. The maturity of each tranche is 2 years from the date of closing and each facility bears interest at 8% per annum. The funding facility is expected to provide the necessary capital for Bitfarms to fund the initial portion of the Panther Creek data center development and buildout.</w:t>
      </w:r>
    </w:p>
    <w:p>
      <w:pPr>
        <w:spacing w:after="0" w:line="179"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Stronghold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14, 2025, the Company acquired Stronghold in a stock-for-stock merger transaction (the “Transaction”). The Transaction was unanimously approved by the Board of Directors of both companies and was approved by shareholders representing a majority of the outstanding shares of Stronghold on February 27, 2025.</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Stronghold shareholders received 2.52 shares of Bitfarms for each share of Stronghold held. The Company issued 59,866,609 common shares and 12,893,650 warrants in connection with the consummation of the Merger. In addition, the Company paid $51.1 million on closing to retire Stronghold’s outstanding loans and other closing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Stronghold Transaction added up to 307 MW of potential power capacity, with an additional 648 MW of incremental potential power capacity, for a total of 955 MW of potential power capacity, to the Company’s operations. This transaction is aligned with the Company’s strategic objectives to diversify its operations and expand its presence in the United States through vertical integration of power generation and energy arbitrage capabilities. Further, the transaction solidifies Bitfarms’ standing in the Bitcoin Mining sector and positions it well for expansion into the HPC/AI sector with two strategically located facilities with energy infrastructure and expansion capacity.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approximately 14,500 S21 Pro Bitmain Miners were installed at the Stronghold Scrubgrass and Panther Creek facilities. Following the closing of the Stronghold Transaction on March 14, 2025, the Panther Creek Hosting Agreement and Scrubgrass Hosting Agreement were terminated, settling the $15.6 million Refundable Hosting Deposits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Q2 2025, approximately 3,400 S21+ and 6,000 S21 Pro Bitmain Miners were installed at the Scrubgrass and Panther Creek facilities.</w:t>
      </w:r>
    </w:p>
    <w:p>
      <w:pPr>
        <w:spacing w:after="0" w:line="200" w:lineRule="exact"/>
        <w:rPr>
          <w:sz w:val="20"/>
          <w:szCs w:val="20"/>
          <w:color w:val="auto"/>
        </w:rPr>
      </w:pPr>
    </w:p>
    <w:p>
      <w:pPr>
        <w:spacing w:after="0" w:line="255"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2025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January 2025, the Company energized 12 MW at the Sharon data center located in Sharon after installing 3,300 Miners. In May 2025, the Company energized the incremental 18 MW expansion project, bringing the total energized capacity to 30 MW with 8,000 Miners installed.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was registered for PJM’s Peak Saver and Synchronized Reserves Dispatchable Programs. The Company is still in the registration process for the Price Response (Economic Demand Response) Dispatchable Program. Participation in these programs includes both demand response and energy arbitrage strategies that the Company plans to develop in the coming months across its PJM portfolio under Bitfarms’ energy program. These programs will contribute to maximizing the value of its PJM assets through more effective control of energy prices.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2025, Bitfarms began engaging with a group for the procurement of all equipment and construction, installation and commissioning the development of an 80 MW substation to increase capacity from 30 MW to 110 MW by the end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Position as of June 30, 2025</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2025, the Company had placed deposits of $1.4 million with suppliers for construction costs and for electrical components. As of June 30, 2025, property, plant and equipment (“PPE”) included $16.0 million related to the Sharon data center for facility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2025 update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completed the upgrade of a portion of its current fleet of Miners in Washington during February 2025 with new T21 Miners. On August 7, 2025, the Company secured a binding agreement for an adjacent land parcel for $1.9 million which is sufficient for a potential conversion to HPC/AI currently under evaluation due to its strategic proximity to a data center cluster.</w:t>
      </w:r>
    </w:p>
    <w:p>
      <w:pPr>
        <w:spacing w:after="0" w:line="182"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Yguazu data center 2025 update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January 24, 2025, the Company announced that it had entered into a binding letter of intent to sell its 200 MW development site in Yguazu to HIVE Digital Technologies Ltd. (“HIVE”) (the “Yguazu Sale”).</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14, 2025, the Yguazu Sale closed. HIVE purchased from Bitfarms its 100% ownership stake of its Yguazu BTC data center and the Company’s loan receivable from its Yguazu subsidiary, Zunz SA (“Backbone Yguazu”), for $63.3 million, with Bitfarms receiving:</w:t>
      </w: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of advance payment made in January 2025 upon signing the letter of intent;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upon the closing of the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million in equal installments over 6 months following the closing;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other costs assumed by HIVE.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MD&amp;A, the Company received $20.7 million from HIVE, with $10.3 million receivable as per the terms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6 to the Financial Statements.</w:t>
      </w:r>
    </w:p>
    <w:p>
      <w:pPr>
        <w:spacing w:after="0" w:line="22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2025 update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utility provider energized an additional 11 MW, increasing the Baie-Comeau data center total to 22 MW.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position as of June 30,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$11.6 million of PPE at the Baie-Comeau data center, including infrastructure equipment that was repurposed from other data centers.</w:t>
      </w:r>
    </w:p>
    <w:p>
      <w:pPr>
        <w:spacing w:after="0" w:line="200" w:lineRule="exact"/>
        <w:rPr>
          <w:sz w:val="20"/>
          <w:szCs w:val="20"/>
          <w:color w:val="auto"/>
        </w:rPr>
      </w:pPr>
    </w:p>
    <w:p>
      <w:pPr>
        <w:spacing w:after="0" w:line="236"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7680" w:firstLine="8"/>
        <w:spacing w:after="0" w:line="500" w:lineRule="auto"/>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PERFORMANCE Consolidated Financial &amp; Operational Results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41,548</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36,252</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91,865</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52,783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(83,280)</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(52,823)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(30,457)</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(113,822)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(5,480)</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(11,275)</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(6,022)</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(21,957)</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15,935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(21,423)</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(12,402)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(41,596)</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disposition of property, plant and</w:t>
            </w: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1,897</w:t>
            </w: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nm</w:t>
            </w:r>
          </w:p>
        </w:tc>
        <w:tc>
          <w:tcPr>
            <w:tcW w:w="11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7,483</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 and deposits</w:t>
            </w:r>
          </w:p>
        </w:tc>
        <w:tc>
          <w:tcPr>
            <w:tcW w:w="1020" w:type="dxa"/>
            <w:vAlign w:val="bottom"/>
            <w:vMerge w:val="continue"/>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1,798</w:t>
            </w:r>
          </w:p>
        </w:tc>
        <w:tc>
          <w:tcPr>
            <w:tcW w:w="11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269</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7,214</w:t>
            </w: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(31,850)</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(39,626)</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(23,578)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(71,985)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(47,286)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2,143</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(1,317)</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3,460</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4,253</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10,126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(37,483)</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(24,895)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(67,732)</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(37,160)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8,639</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(1,704)</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10,343</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3,013</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4,581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(28,844)</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(26,599)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(64,719)</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(32,579)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per share (in</w:t>
            </w:r>
          </w:p>
        </w:tc>
        <w:tc>
          <w:tcPr>
            <w:tcW w:w="10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(0.05)</w:t>
            </w: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(0.12)</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dollars)</w:t>
            </w: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(0.07)</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23,003</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9,582</w:t>
            </w: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10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(5,455)</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28,458</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522%</w:t>
            </w:r>
          </w:p>
        </w:tc>
        <w:tc>
          <w:tcPr>
            <w:tcW w:w="11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11,978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(5,841)</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(32,054)</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26,213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(55,137)</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(20,601)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32,367</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20,650</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11,717</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61,731</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51,990</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9,741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6"/>
        </w:trPr>
        <w:tc>
          <w:tcPr>
            <w:tcW w:w="3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13,720</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11,466</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2,254</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28,806</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34,790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130"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0" w:hanging="332"/>
        <w:spacing w:after="0" w:line="187"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7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60" w:type="dxa"/>
            <w:vAlign w:val="bottom"/>
            <w:tcBorders>
              <w:bottom w:val="single" w:sz="8" w:color="auto"/>
            </w:tcBorders>
          </w:tcPr>
          <w:p>
            <w:pPr>
              <w:spacing w:after="0"/>
              <w:rPr>
                <w:sz w:val="24"/>
                <w:szCs w:val="24"/>
                <w:color w:val="auto"/>
              </w:rPr>
            </w:pPr>
          </w:p>
        </w:tc>
      </w:tr>
      <w:tr>
        <w:trPr>
          <w:trHeight w:val="209"/>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71,292</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40,383</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30,909</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136,155</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89,806</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46,349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2,553</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2,553</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3,124</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services</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1,006</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1,165</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2,059</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3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Energy sales</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2,949</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2,949</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3,269</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3,269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7"/>
        </w:trPr>
        <w:tc>
          <w:tcPr>
            <w:tcW w:w="42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41,548</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36,252</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91,865</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52,783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2025 v. Q2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$77.8 million in Q2 2025 compared to $41.5 million in Q2 2024, an increase of $36.3 million, or 87%.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Q2 2025 compared to Q2 2024 are presented in the table below. Revenues increased mostly due to an increase in the Company’s average BTC Hashrate and average BTC price, partially offset by the increase in Network Difficulty and lower Block Rewards following the BTC halving event that occurred on April 19,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3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BTC</w:t>
            </w: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6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three months ended June 30, 2024</w:t>
            </w:r>
          </w:p>
        </w:tc>
        <w:tc>
          <w:tcPr>
            <w:tcW w:w="1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614</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41,548</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during Q2 2025</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(139)</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(15,893)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Q2 2025 as compared to Q2</w:t>
            </w:r>
          </w:p>
        </w:tc>
        <w:tc>
          <w:tcPr>
            <w:tcW w:w="1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(460)</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(46,733)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Q2 2025 as</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compared to Q2 2024</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718</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73,311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Q2 2025 as compared to Q2 2024</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22,781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variance, other revenues and change in Volta*</w:t>
            </w:r>
          </w:p>
        </w:tc>
        <w:tc>
          <w:tcPr>
            <w:tcW w:w="1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2,786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87"/>
        </w:trPr>
        <w:tc>
          <w:tcPr>
            <w:tcW w:w="62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BTC and revenues, including Volta*, for the three months ended June 30,</w:t>
            </w:r>
          </w:p>
        </w:tc>
        <w:tc>
          <w:tcPr>
            <w:tcW w:w="1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45"/>
        </w:trPr>
        <w:tc>
          <w:tcPr>
            <w:tcW w:w="6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733</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bl>
    <w:p>
      <w:pPr>
        <w:spacing w:after="0" w:line="198" w:lineRule="exact"/>
        <w:rPr>
          <w:sz w:val="20"/>
          <w:szCs w:val="20"/>
          <w:color w:val="auto"/>
        </w:rPr>
      </w:pPr>
    </w:p>
    <w:p>
      <w:pPr>
        <w:ind w:firstLine="8"/>
        <w:spacing w:after="0" w:line="282" w:lineRule="auto"/>
        <w:tabs>
          <w:tab w:leader="none" w:pos="15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9159-9290 Quebec Inc. (“Volta”) is a wholly-owned subsidiary of the Company, assists the Company in building and maintaining its data centers and provides electrician services to both commercial and residential customers in Quebec, Canada.</w:t>
      </w:r>
    </w:p>
    <w:p>
      <w:pPr>
        <w:sectPr>
          <w:pgSz w:w="11900" w:h="16838" w:orient="portrait"/>
          <w:cols w:equalWidth="0" w:num="1">
            <w:col w:w="11240"/>
          </w:cols>
          <w:pgMar w:left="320" w:top="266"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Calculated as the theoretical BTC earned based on Bitfarms’ actual Hashrate during Q2 2025 assuming the BTC halving event did not occur, compared to actual BTC earned during the same period multiplied by average BTC price earned.</w:t>
      </w:r>
    </w:p>
    <w:p>
      <w:pPr>
        <w:spacing w:after="0" w:line="250" w:lineRule="auto"/>
        <w:rPr>
          <w:sz w:val="20"/>
          <w:szCs w:val="20"/>
          <w:color w:val="auto"/>
        </w:rPr>
      </w:pPr>
      <w:r>
        <w:rPr>
          <w:rFonts w:ascii="Times New Roman" w:cs="Times New Roman" w:eastAsia="Times New Roman" w:hAnsi="Times New Roman"/>
          <w:sz w:val="18"/>
          <w:szCs w:val="18"/>
          <w:color w:val="auto"/>
        </w:rPr>
        <w:t>Calculated as the difference in BTC earned in Q2 2025 compared to Q2 2024, based on the change in Network Difficulty, multiplied by Q2 2025 average BTC price earned.</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Calculated as the difference in BTC earned in Q2 2025 compared to Q2 2024, based on the change in Bitfarms’ average Hashrate, multiplied by Q2 2025 average BTC price earned.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as the difference in average BTC price in Q2 2025 compared to Q2 2024 multiplied by BTC earned in Q2 2024.</w:t>
      </w:r>
    </w:p>
    <w:p>
      <w:pPr>
        <w:spacing w:after="0" w:line="200" w:lineRule="exact"/>
        <w:rPr>
          <w:sz w:val="20"/>
          <w:szCs w:val="20"/>
          <w:color w:val="auto"/>
        </w:rPr>
      </w:pPr>
    </w:p>
    <w:p>
      <w:pPr>
        <w:sectPr>
          <w:pgSz w:w="11900" w:h="16838" w:orient="portrait"/>
          <w:cols w:equalWidth="0" w:num="2">
            <w:col w:w="420" w:space="160"/>
            <w:col w:w="10660"/>
          </w:cols>
          <w:pgMar w:left="320" w:top="266" w:right="339" w:bottom="1440" w:gutter="0" w:footer="0" w:header="0"/>
          <w:type w:val="continuous"/>
        </w:sectPr>
      </w:pPr>
    </w:p>
    <w:p>
      <w:pPr>
        <w:spacing w:after="0" w:line="236"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Q2 2025 v. Q2 2024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Q2 2025 and Q2 2024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20" w:type="dxa"/>
            <w:vAlign w:val="bottom"/>
            <w:tcBorders>
              <w:bottom w:val="single" w:sz="8" w:color="auto"/>
            </w:tcBorders>
          </w:tcPr>
          <w:p>
            <w:pPr>
              <w:spacing w:after="0"/>
              <w:rPr>
                <w:sz w:val="20"/>
                <w:szCs w:val="20"/>
                <w:color w:val="auto"/>
              </w:rPr>
            </w:pPr>
          </w:p>
        </w:tc>
      </w:tr>
      <w:tr>
        <w:trPr>
          <w:trHeight w:val="209"/>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28,929</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28,129</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32,997</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3,296</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29,701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09"/>
        </w:trPr>
        <w:tc>
          <w:tcPr>
            <w:tcW w:w="5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61,926</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31,425</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30,501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1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12,217</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2,144</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10,073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1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3,657</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7,979</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(4,322)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52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15,874</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10,123</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5,751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7"/>
        </w:trPr>
        <w:tc>
          <w:tcPr>
            <w:tcW w:w="5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41,548</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36,252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32"/>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Average Operational Hashrate under Management*</w:t>
            </w:r>
          </w:p>
        </w:tc>
        <w:tc>
          <w:tcPr>
            <w:tcW w:w="19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20" w:type="dxa"/>
            <w:vAlign w:val="bottom"/>
            <w:tcBorders>
              <w:bottom w:val="single" w:sz="8" w:color="auto"/>
            </w:tcBorders>
          </w:tcPr>
          <w:p>
            <w:pPr>
              <w:spacing w:after="0"/>
              <w:rPr>
                <w:sz w:val="24"/>
                <w:szCs w:val="24"/>
                <w:color w:val="auto"/>
              </w:rPr>
            </w:pPr>
          </w:p>
        </w:tc>
      </w:tr>
      <w:tr>
        <w:trPr>
          <w:trHeight w:val="209"/>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1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0"/>
        </w:trPr>
        <w:tc>
          <w:tcPr>
            <w:tcW w:w="5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12.4</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1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1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0.9</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52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7"/>
        </w:trPr>
        <w:tc>
          <w:tcPr>
            <w:tcW w:w="5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15.9</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6.7</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6"/>
        </w:trPr>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operational hashrate reflects the hashrate of the Miners that the Company owns and operates.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earned most of its revenues during Q2 2025 from its North American operations. Canada and the United States accounted for 37% and 42% of total revenues, respectively, compared to 68% and 8% in Q2 2024, respectively. The Company’s operations in Paraguay and Argentina accounted for 16% and 5% of total revenues in Q2 2025, respectively, compared to 5% and 19% in Q2 2024,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Q2 2025, revenues from the Company’s operations in United States, Paraguay and Canada increased by $29.7 million, $10.1 million and $0.8 million, respectively, compared to Q2 2024. The increases are mainly due to the average Hashrate increase of the United States, Paraguay and Canada operations of 5.8 EH/s, 2.2 EH/s and 1.6 EH/s, respectively, and the increase in average BTC price, partially offset by the decrease in BTC Block Rewards following the BTC halving event that occurred on April 19, 2024 and the increase in Network Difficulty. The Company’s acquisition of Stronghold’s facilities as part of the Stronghold Transaction contributed to 1.4 EH/s, or 16% of the Hashrate increase. Revenues from the Company’s operations in Argentina decreased by $4.3 million in Q2 2025, as compared to Q2 2024 due to the halting of the electricity supply at the Company’s data center in Rio Cuarto, and the factors mentioned above.</w:t>
      </w:r>
    </w:p>
    <w:p>
      <w:pPr>
        <w:spacing w:after="0" w:line="200" w:lineRule="exact"/>
        <w:rPr>
          <w:sz w:val="20"/>
          <w:szCs w:val="20"/>
          <w:color w:val="auto"/>
        </w:rPr>
      </w:pPr>
    </w:p>
    <w:p>
      <w:pPr>
        <w:spacing w:after="0" w:line="218"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2025 v. YTD Q2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$144.6 million in YTD Q2 2025 compared to $91.9 million in YTD Q2 2024, an increase of $52.8 million, or 57%.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YTD Q2 2025, compared to YTD Q2 2024, are presented in the table below. Revenues increased mostly due to the increase in average BTC price and the increase in average Bitfarms’ Hashrate, partially offset by the increase in Network Difficulty and lower BTC Block Rewards following the BTC halving event that occurred on April 19,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six months ended June 30, 2024</w:t>
            </w:r>
          </w:p>
        </w:tc>
        <w:tc>
          <w:tcPr>
            <w:tcW w:w="1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1,557</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91,865</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during YTD Q2 2025</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(818)</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(79,445)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198"/>
        </w:trPr>
        <w:tc>
          <w:tcPr>
            <w:tcW w:w="6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YTD Q2 2025 as compared to</w:t>
            </w: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YTD Q2 2024</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(1,100)</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(106,684)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198"/>
        </w:trPr>
        <w:tc>
          <w:tcPr>
            <w:tcW w:w="6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YTD Q2 2025 as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compared to YTD Q2 2024</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1,793</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173,972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198"/>
        </w:trPr>
        <w:tc>
          <w:tcPr>
            <w:tcW w:w="6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difference in average BTC price in YTD Q2 2025 as compared to</w:t>
            </w: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YTD Q2 2024</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61,635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98"/>
        </w:trPr>
        <w:tc>
          <w:tcPr>
            <w:tcW w:w="6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variance, other revenues and change in Volta*</w:t>
            </w:r>
          </w:p>
        </w:tc>
        <w:tc>
          <w:tcPr>
            <w:tcW w:w="1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3,305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87"/>
        </w:trPr>
        <w:tc>
          <w:tcPr>
            <w:tcW w:w="62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BTC and revenues, including Volta*, for the six months ended June 30,</w:t>
            </w:r>
          </w:p>
        </w:tc>
        <w:tc>
          <w:tcPr>
            <w:tcW w:w="1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45"/>
        </w:trPr>
        <w:tc>
          <w:tcPr>
            <w:tcW w:w="6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1,432</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r>
    </w:tbl>
    <w:p>
      <w:pPr>
        <w:spacing w:after="0" w:line="198" w:lineRule="exact"/>
        <w:rPr>
          <w:sz w:val="20"/>
          <w:szCs w:val="20"/>
          <w:color w:val="auto"/>
        </w:rPr>
      </w:pPr>
    </w:p>
    <w:p>
      <w:pPr>
        <w:ind w:firstLine="8"/>
        <w:spacing w:after="0" w:line="261" w:lineRule="auto"/>
        <w:tabs>
          <w:tab w:leader="none" w:pos="1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Volta is a wholly-owned subsidiary of the Company, assists the Company in building and maintaining its data centers and provides electrician services to both commercial and residential customers in Quebec, Canada</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9" w:lineRule="exact"/>
        <w:rPr>
          <w:sz w:val="20"/>
          <w:szCs w:val="20"/>
          <w:color w:val="auto"/>
        </w:rPr>
      </w:pPr>
    </w:p>
    <w:p>
      <w:pPr>
        <w:ind w:left="680" w:hanging="672"/>
        <w:spacing w:after="0" w:line="187" w:lineRule="auto"/>
        <w:tabs>
          <w:tab w:leader="none" w:pos="680" w:val="left"/>
        </w:tabs>
        <w:numPr>
          <w:ilvl w:val="0"/>
          <w:numId w:val="61"/>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8"/>
          <w:szCs w:val="18"/>
          <w:color w:val="auto"/>
        </w:rPr>
        <w:t>Calculated as the theoretical BTC earned based on Bitfarms’ actual Hashrate during YTD Q2 2025 assuming the BTC halving event did not occur, compared to actual BTC earned during the same period multiplied by average BTC price earned.</w:t>
      </w:r>
    </w:p>
    <w:p>
      <w:pPr>
        <w:spacing w:after="0" w:line="2" w:lineRule="exact"/>
        <w:rPr>
          <w:sz w:val="20"/>
          <w:szCs w:val="20"/>
          <w:color w:val="auto"/>
        </w:rPr>
      </w:pPr>
    </w:p>
    <w:p>
      <w:pPr>
        <w:ind w:left="680" w:right="20" w:hanging="672"/>
        <w:spacing w:after="0" w:line="187" w:lineRule="auto"/>
        <w:tabs>
          <w:tab w:leader="none" w:pos="680" w:val="left"/>
        </w:tabs>
        <w:numPr>
          <w:ilvl w:val="0"/>
          <w:numId w:val="62"/>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8"/>
          <w:szCs w:val="18"/>
          <w:color w:val="auto"/>
        </w:rPr>
        <w:t>Calculated as the difference in BTC earned in YTD Q2 2025 compared to YTD Q2 2024, based on the change in Network Difficulty, multiplied by YTD Q2 2025 average BTC price earned.</w:t>
      </w:r>
    </w:p>
    <w:p>
      <w:pPr>
        <w:spacing w:after="0" w:line="2" w:lineRule="exact"/>
        <w:rPr>
          <w:sz w:val="20"/>
          <w:szCs w:val="20"/>
          <w:color w:val="auto"/>
        </w:rPr>
      </w:pPr>
    </w:p>
    <w:p>
      <w:pPr>
        <w:ind w:left="680" w:right="20" w:hanging="672"/>
        <w:spacing w:after="0" w:line="187" w:lineRule="auto"/>
        <w:tabs>
          <w:tab w:leader="none" w:pos="680" w:val="left"/>
        </w:tabs>
        <w:numPr>
          <w:ilvl w:val="0"/>
          <w:numId w:val="63"/>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8"/>
          <w:szCs w:val="18"/>
          <w:color w:val="auto"/>
        </w:rPr>
        <w:t>Calculated as the difference in BTC earned in YTD Q2 2025 compared to YTD Q2 2024, based on the change in Bitfarms’ average Hashrate, multiplied by YTD Q2 2025 average BTC price earned.</w:t>
      </w:r>
    </w:p>
    <w:p>
      <w:pPr>
        <w:ind w:left="680" w:hanging="672"/>
        <w:spacing w:after="0" w:line="181" w:lineRule="auto"/>
        <w:tabs>
          <w:tab w:leader="none" w:pos="680" w:val="left"/>
        </w:tabs>
        <w:numPr>
          <w:ilvl w:val="0"/>
          <w:numId w:val="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Calculated as the difference in average BTC price in YTD Q2 2025 compared to YTD Q2 2024 multiplied by BTC earned in YTD Q2 2024.</w:t>
      </w:r>
    </w:p>
    <w:p>
      <w:pPr>
        <w:spacing w:after="0" w:line="200" w:lineRule="exact"/>
        <w:rPr>
          <w:sz w:val="20"/>
          <w:szCs w:val="20"/>
          <w:color w:val="auto"/>
        </w:rPr>
      </w:pPr>
    </w:p>
    <w:p>
      <w:pPr>
        <w:spacing w:after="0" w:line="228"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YTD Q2 2025 v. YTD Q2 2024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YTD Q2 2025 and YTD Q2 2024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20" w:type="dxa"/>
            <w:vAlign w:val="bottom"/>
            <w:tcBorders>
              <w:bottom w:val="single" w:sz="8" w:color="auto"/>
            </w:tcBorders>
          </w:tcPr>
          <w:p>
            <w:pPr>
              <w:spacing w:after="0"/>
              <w:rPr>
                <w:sz w:val="20"/>
                <w:szCs w:val="20"/>
                <w:color w:val="auto"/>
              </w:rPr>
            </w:pPr>
          </w:p>
        </w:tc>
      </w:tr>
      <w:tr>
        <w:trPr>
          <w:trHeight w:val="209"/>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58,707</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60,267</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51,098</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8,183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42,915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09"/>
        </w:trPr>
        <w:tc>
          <w:tcPr>
            <w:tcW w:w="508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109,805</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68,450</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41,355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2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24,231</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3,860</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20,371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10,612</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19,555</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(8,943)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508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34,843</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23,415</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11,428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7"/>
        </w:trPr>
        <w:tc>
          <w:tcPr>
            <w:tcW w:w="50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91,865</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52,783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32"/>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Average Hashrate under Management*</w:t>
            </w:r>
          </w:p>
        </w:tc>
        <w:tc>
          <w:tcPr>
            <w:tcW w:w="2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20" w:type="dxa"/>
            <w:vAlign w:val="bottom"/>
            <w:tcBorders>
              <w:bottom w:val="single" w:sz="8" w:color="auto"/>
            </w:tcBorders>
          </w:tcPr>
          <w:p>
            <w:pPr>
              <w:spacing w:after="0"/>
              <w:rPr>
                <w:sz w:val="24"/>
                <w:szCs w:val="24"/>
                <w:color w:val="auto"/>
              </w:rPr>
            </w:pPr>
          </w:p>
        </w:tc>
      </w:tr>
      <w:tr>
        <w:trPr>
          <w:trHeight w:val="210"/>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5.9</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09"/>
        </w:trPr>
        <w:tc>
          <w:tcPr>
            <w:tcW w:w="508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10.9</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2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508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7"/>
        </w:trPr>
        <w:tc>
          <w:tcPr>
            <w:tcW w:w="50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14.5</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operational hashrate reflects the hashrate of the Miners that the Company owns and operates.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earned most of its revenues during YTD Q2 2025 from its North American operations. Canada and the United States accounted for 41% and 35% of total revenues, respectively, compared to 66% and 9% in YTD Q2 2024, respectively. The Company’s operations in Paraguay and Argentina accounted for 17% and 7% of total revenues in YTD Q2 2025, respectively, compared to 4% and 21% in YTD Q2 2024,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YTD Q2 2025, revenues from the Company’s operations in United States and Paraguay increased by $42.9 million and $20.4 million, respectively, compared to YTD Q2 2024. The increases are mainly due to average hashrate increase of the United States and Paraguay operations of 4.4 EH/s and 2.2 EH/s, respectively, and the increases in average BTC price, partially offset by the increase in Network Difficulty and the decrease in Block Rewards following the BTC halving event that occurred on April 19, 2024. The Company’s acquisition of Stronghold facilities as part of the Stronghold Transaction contributed to 1.4 EH/s, or 18% of the Hashrate increase. Revenues from the Company’s operations in Argentina and Canada decreased by $8.9 million and $1.6 million, respectively, in YTD Q2 2025, as compared to YTD Q2 2024, due to the halting of the electricity supply at the Company’s data center in Rio Cuarto, and the other factors mentioned above, partially offset by the average Hashrate increase in Canada.</w:t>
      </w:r>
    </w:p>
    <w:p>
      <w:pPr>
        <w:spacing w:after="0" w:line="200" w:lineRule="exact"/>
        <w:rPr>
          <w:sz w:val="20"/>
          <w:szCs w:val="20"/>
          <w:color w:val="auto"/>
        </w:rPr>
      </w:pPr>
    </w:p>
    <w:p>
      <w:pPr>
        <w:spacing w:after="0" w:line="218"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2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(30,108)</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(19,461)</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(10,647)</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(55,516)</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(38,808)</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energy</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17,017</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(17,017)</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17,017</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(37,008)</w:t>
            </w: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(66,701)</w:t>
            </w:r>
          </w:p>
        </w:tc>
        <w:tc>
          <w:tcPr>
            <w:tcW w:w="1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(57,337)</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20,329</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vMerge w:val="continue"/>
            <w:shd w:val="clear" w:color="auto" w:fill="CCEEFF"/>
          </w:tcPr>
          <w:p>
            <w:pPr>
              <w:spacing w:after="0"/>
              <w:rPr>
                <w:sz w:val="20"/>
                <w:szCs w:val="20"/>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(96,314)</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29,613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8,760</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(8,760)</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8,760</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expenses</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(7,735)</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(15,334)</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(929)</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(14,405)</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(19,011)</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(2,896)</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Electrical components and</w:t>
            </w:r>
          </w:p>
        </w:tc>
        <w:tc>
          <w:tcPr>
            <w:tcW w:w="1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(830)</w:t>
            </w: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(1,707)</w:t>
            </w:r>
          </w:p>
        </w:tc>
        <w:tc>
          <w:tcPr>
            <w:tcW w:w="1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(873)</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(1,581)</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7"/>
        </w:trPr>
        <w:tc>
          <w:tcPr>
            <w:tcW w:w="2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(83,280)</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(52,823)</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(30,457)</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(113,822)</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(36,848)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2025 v. Q2 2024</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cost of revenues for Q2 2025 was $83.3 million, compared to $52.8 million for Q2 2024. The increase in cost of revenues was mainly attributable to:</w:t>
      </w:r>
    </w:p>
    <w:p>
      <w:pPr>
        <w:spacing w:after="0" w:line="1" w:lineRule="exact"/>
        <w:rPr>
          <w:sz w:val="20"/>
          <w:szCs w:val="20"/>
          <w:color w:val="auto"/>
        </w:rPr>
      </w:pPr>
    </w:p>
    <w:p>
      <w:pPr>
        <w:jc w:val="both"/>
        <w:ind w:left="260" w:hanging="252"/>
        <w:spacing w:after="0" w:line="250" w:lineRule="auto"/>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$25.8 million sales tax recovery in Q2 2024 for sales taxes paid by the Company from February 5, 2022 to April 2024 due to the Company receiving confirmation from the provincial tax authorities that Canadian sales taxes are refundable, compared to nil in Q2 2025. Refer to Note 29b -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Details to the Statement of Profit or Loss and Comprehensive Profit or Loss (Canadian sales tax refund) </w:t>
      </w:r>
      <w:r>
        <w:rPr>
          <w:rFonts w:ascii="Times New Roman" w:cs="Times New Roman" w:eastAsia="Times New Roman" w:hAnsi="Times New Roman"/>
          <w:sz w:val="18"/>
          <w:szCs w:val="18"/>
          <w:color w:val="auto"/>
        </w:rPr>
        <w:t>to the 2024 Annual Financial Statements.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$14.4 million increase in infrastructure expenses, mainly due to:</w:t>
      </w:r>
    </w:p>
    <w:p>
      <w:pPr>
        <w:spacing w:after="0" w:line="9" w:lineRule="exact"/>
        <w:rPr>
          <w:rFonts w:ascii="Times New Roman" w:cs="Times New Roman" w:eastAsia="Times New Roman" w:hAnsi="Times New Roman"/>
          <w:sz w:val="18"/>
          <w:szCs w:val="18"/>
          <w:color w:val="auto"/>
        </w:rPr>
      </w:pPr>
    </w:p>
    <w:p>
      <w:pPr>
        <w:jc w:val="both"/>
        <w:ind w:left="900" w:hanging="244"/>
        <w:spacing w:after="0" w:line="250"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$10.6 million increase related to operating expenses at the Panther Creek and Scrubgrass power plants, following the acquisition of Stronghold in the first quarter of 2025. The expenses included $3.4 million of labor costs and other employee benefits, $6.0 million of plant maintenance costs and $1.2 million of other operating expenses; and</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Mining operations consulting expenses at the Scrubgrass, Panther Creek and Sharon data centers.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$10.6 million, or 55%, increase in energy expenses, mainly due to:</w:t>
      </w:r>
    </w:p>
    <w:p>
      <w:pPr>
        <w:spacing w:after="0" w:line="9" w:lineRule="exact"/>
        <w:rPr>
          <w:rFonts w:ascii="Times New Roman" w:cs="Times New Roman" w:eastAsia="Times New Roman" w:hAnsi="Times New Roman"/>
          <w:sz w:val="18"/>
          <w:szCs w:val="18"/>
          <w:color w:val="auto"/>
        </w:rPr>
      </w:pPr>
    </w:p>
    <w:p>
      <w:pPr>
        <w:ind w:left="900" w:hanging="244"/>
        <w:spacing w:after="0" w:line="250"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adding new and more efficient Miners, which increased energy utilization to an average of 318 MW during Q2 2025 versus 199 MW for the same period in 2024, resulting in an increase in electricity costs of $7.5 million; and</w:t>
      </w:r>
    </w:p>
    <w:p>
      <w:pPr>
        <w:ind w:left="900" w:hanging="244"/>
        <w:spacing w:after="0" w:line="260"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$9.8 million increase due to fuel expenses for the Panther Creek and Scrubgrass power plants following the acquisition of Stronghold in the first quarter of 2025, partially offset by $6.6 million of renewable energy credits (“RECs”) in Q2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jc w:val="both"/>
        <w:ind w:left="260" w:hanging="252"/>
        <w:spacing w:after="0" w:line="255" w:lineRule="auto"/>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$20.3 million decrease in non-cash depreciation and amortization expense due to the accelerated depreciation recorded in Q2 2024 related to the upgrade program which decreased the anticipated useful life of older Miners. Refer to Note 12 -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2024 Annual Financial Statements.</w:t>
      </w:r>
    </w:p>
    <w:p>
      <w:pPr>
        <w:spacing w:after="0" w:line="200" w:lineRule="exact"/>
        <w:rPr>
          <w:sz w:val="20"/>
          <w:szCs w:val="20"/>
          <w:color w:val="auto"/>
        </w:rPr>
      </w:pPr>
    </w:p>
    <w:p>
      <w:pPr>
        <w:spacing w:after="0" w:line="215"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2025 v. YTD Q2 2024</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Bitfarms’ cost of revenues was $150.7 million for YTD Q2 2025 compared to $113.8 million for YTD Q2 2024. The increase in cost of revenues was mainly due to:</w:t>
      </w:r>
    </w:p>
    <w:p>
      <w:pPr>
        <w:spacing w:after="0" w:line="1"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$16.7 million, or 43%, increase in energy expenses, mainly due to:</w:t>
      </w:r>
    </w:p>
    <w:p>
      <w:pPr>
        <w:spacing w:after="0" w:line="9" w:lineRule="exact"/>
        <w:rPr>
          <w:rFonts w:ascii="Times New Roman" w:cs="Times New Roman" w:eastAsia="Times New Roman" w:hAnsi="Times New Roman"/>
          <w:sz w:val="18"/>
          <w:szCs w:val="18"/>
          <w:color w:val="auto"/>
        </w:rPr>
      </w:pPr>
    </w:p>
    <w:p>
      <w:pPr>
        <w:ind w:left="900" w:right="20" w:hanging="244"/>
        <w:spacing w:after="0" w:line="250"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$12.0 million increase due to fuel expenses from its power plants to generate revenues following the acquisition of Stronghold in the first quarter of 2025, partially offset by $6.6 million of RECs in YTD Q2 2025; and</w:t>
      </w:r>
    </w:p>
    <w:p>
      <w:pPr>
        <w:ind w:left="900" w:hanging="244"/>
        <w:spacing w:after="0" w:line="250"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adding new and more efficient Miners, which increased energy utilization to an average of 299 MW during YTD Q2 2025 versus 206 MW for the same period in 2024, resulting in an increase in electricity costs of $11.3 million.</w:t>
      </w:r>
    </w:p>
    <w:p>
      <w:pPr>
        <w:jc w:val="both"/>
        <w:ind w:left="340" w:hanging="332"/>
        <w:spacing w:after="0" w:line="250"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$25.8 million sales tax recovery received in Q2 2024 for sales taxes paid by the Company from February 5, 2022 to April 2024 due to the Company receiving confirmation from the provincial tax authorities that Canadian sales taxes are refundable, compared to nil in YTD Q2 2025.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$16.1 million, or 556%, increase in infrastructure expenses, mainly due to:</w:t>
      </w:r>
    </w:p>
    <w:p>
      <w:pPr>
        <w:spacing w:after="0" w:line="9" w:lineRule="exact"/>
        <w:rPr>
          <w:rFonts w:ascii="Times New Roman" w:cs="Times New Roman" w:eastAsia="Times New Roman" w:hAnsi="Times New Roman"/>
          <w:sz w:val="18"/>
          <w:szCs w:val="18"/>
          <w:color w:val="auto"/>
        </w:rPr>
      </w:pPr>
    </w:p>
    <w:p>
      <w:pPr>
        <w:jc w:val="both"/>
        <w:ind w:left="900" w:hanging="244"/>
        <w:spacing w:after="0" w:line="250"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$12.1 million increase related to operating expenses at the Panther Creek and Scrubgrass power plants following the acquisition of Stronghold in the first quarter of 2025. The expenses included $3.9 million of labor costs and other employee benefits, $6.3 million of plant maintenance costs and $1.9 million of other operating expenses; and</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Mining operations consulting expenses at the Scrubgrass, Panther Creek and Sharon data centers.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$7.7 million, or 100%, increase in hosting expenses, mainly due to:</w:t>
      </w:r>
    </w:p>
    <w:p>
      <w:pPr>
        <w:spacing w:after="0" w:line="9" w:lineRule="exact"/>
        <w:rPr>
          <w:rFonts w:ascii="Times New Roman" w:cs="Times New Roman" w:eastAsia="Times New Roman" w:hAnsi="Times New Roman"/>
          <w:sz w:val="18"/>
          <w:szCs w:val="18"/>
          <w:color w:val="auto"/>
        </w:rPr>
      </w:pPr>
    </w:p>
    <w:p>
      <w:pPr>
        <w:ind w:left="900" w:hanging="244"/>
        <w:spacing w:after="0" w:line="250"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increase in electricity costs incurred in Q1 2025 for the hosting of the Company’s Miners at the Panther Creek and Scrubgrass facilities prior to the acquisition of Stronghold; and</w:t>
      </w:r>
    </w:p>
    <w:p>
      <w:pPr>
        <w:ind w:left="900" w:hanging="244"/>
        <w:spacing w:after="0" w:line="260"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non-recurring increase of $3.3 million in hosting expenses as the Company had its Miners hosted at Stronghold’s Panther Creek and Scrubgrass facilities in the first quarter of 2025, prior to the acquisition of Stronghold.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jc w:val="both"/>
        <w:ind w:left="340" w:hanging="332"/>
        <w:spacing w:after="0" w:line="255"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$29.6 million decrease in non-cash depreciation and amortization expense due to the accelerated depreciation recorded in YTD Q2 2024 related to the upgrade program which decreased the anticipated useful life of older Miners. Refer to Note 12 -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2024 Annual Financial Statements.</w:t>
      </w:r>
    </w:p>
    <w:p>
      <w:pPr>
        <w:spacing w:after="0" w:line="200" w:lineRule="exact"/>
        <w:rPr>
          <w:sz w:val="20"/>
          <w:szCs w:val="20"/>
          <w:color w:val="auto"/>
        </w:rPr>
      </w:pPr>
    </w:p>
    <w:p>
      <w:pPr>
        <w:spacing w:after="0" w:line="215"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(8,107)</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(4,075)</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(14,277)</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(10,079)</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(4,198)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(3,615)</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(1,940)</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(8,052)</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(4,769)</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(4,291)</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(5,695)</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1,404</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(7,353)</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1,389</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1,389</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(1,092)</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(3,441)</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(2,436)</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(6,545)</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(4,393)</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(730)</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Telecom hosting and telecommunications</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(147)</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other general and</w:t>
            </w:r>
          </w:p>
        </w:tc>
        <w:tc>
          <w:tcPr>
            <w:tcW w:w="9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753</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3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(21,423)</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(12,402)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(9,021)</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(41,596)</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(25,598)</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(15,998)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2025 v. Q2 2024</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general and administrative (“G&amp;A”) expenses were $21.4 million in Q2 2025, compared to $12.4 million for Q2 2024. The increase of $9.0 million, or 73%, was largely due to:</w:t>
      </w:r>
    </w:p>
    <w:p>
      <w:pPr>
        <w:spacing w:after="0" w:line="1" w:lineRule="exact"/>
        <w:rPr>
          <w:sz w:val="20"/>
          <w:szCs w:val="20"/>
          <w:color w:val="auto"/>
        </w:rPr>
      </w:pPr>
    </w:p>
    <w:p>
      <w:pPr>
        <w:jc w:val="both"/>
        <w:ind w:left="260" w:hanging="252"/>
        <w:spacing w:after="0" w:line="250" w:lineRule="auto"/>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increase in salaries and wages due to (i) the increase in the Company’s headcount in Q2 2025 compared to Q2 2024 to support the global expansion as well as merit and market-based adjustments and cost of living salary increases and (ii) the salaries paid to Stronghold employees following the acquisition in the first quarter of 2025;</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$2.1 million sales tax recovery received in Q2 2024 for sales taxes paid by the Company from February 5, 2022 to April 2024 due to the Company receiving confirmation from the provincial tax authorities that Canadian sales taxes are refundable, compared to nil in Q2 2025. Refer to Note 29b - </w:t>
      </w:r>
      <w:r>
        <w:rPr>
          <w:rFonts w:ascii="Times New Roman" w:cs="Times New Roman" w:eastAsia="Times New Roman" w:hAnsi="Times New Roman"/>
          <w:sz w:val="18"/>
          <w:szCs w:val="18"/>
          <w:i w:val="1"/>
          <w:iCs w:val="1"/>
          <w:color w:val="auto"/>
        </w:rPr>
        <w:t xml:space="preserve">Additional Details to the Statement of Profit or Loss and Comprehensive Profit or Loss (Canadian sales tax refund) </w:t>
      </w:r>
      <w:r>
        <w:rPr>
          <w:rFonts w:ascii="Times New Roman" w:cs="Times New Roman" w:eastAsia="Times New Roman" w:hAnsi="Times New Roman"/>
          <w:sz w:val="18"/>
          <w:szCs w:val="18"/>
          <w:color w:val="auto"/>
        </w:rPr>
        <w:t>to the 2024 Annual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w:t>
      </w:r>
    </w:p>
    <w:p>
      <w:pPr>
        <w:spacing w:after="0" w:line="1" w:lineRule="exact"/>
        <w:rPr>
          <w:rFonts w:ascii="Times New Roman" w:cs="Times New Roman" w:eastAsia="Times New Roman" w:hAnsi="Times New Roman"/>
          <w:sz w:val="18"/>
          <w:szCs w:val="18"/>
          <w:color w:val="auto"/>
        </w:rPr>
      </w:pPr>
    </w:p>
    <w:p>
      <w:pPr>
        <w:ind w:left="260" w:hanging="252"/>
        <w:spacing w:after="0" w:line="260" w:lineRule="auto"/>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 million increase in share-based payments due to higher outstanding stock options and new restricted stock units (“RSU”) granted during Q2 2025 compared to Q2 2024.</w:t>
      </w:r>
    </w:p>
    <w:p>
      <w:pPr>
        <w:spacing w:after="0" w:line="200" w:lineRule="exact"/>
        <w:rPr>
          <w:sz w:val="20"/>
          <w:szCs w:val="20"/>
          <w:color w:val="auto"/>
        </w:rPr>
      </w:pPr>
    </w:p>
    <w:p>
      <w:pPr>
        <w:spacing w:after="0" w:line="21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&amp; Administrative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2025 v. YTD Q2 2024</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YTD Q2 2025, Bitfarms’ G&amp;A expenses were $41.6 million, compared to $25.6 million for the same period in 2024. The increase in G&amp;A expenses of $16.0 million, or 62%, was mainly due to:</w:t>
      </w:r>
    </w:p>
    <w:p>
      <w:pPr>
        <w:spacing w:after="0" w:line="1" w:lineRule="exact"/>
        <w:rPr>
          <w:sz w:val="20"/>
          <w:szCs w:val="20"/>
          <w:color w:val="auto"/>
        </w:rPr>
      </w:pPr>
    </w:p>
    <w:p>
      <w:pPr>
        <w:jc w:val="both"/>
        <w:ind w:left="340" w:right="20" w:hanging="332"/>
        <w:spacing w:after="0" w:line="25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 million increase in salaries and wages due to (i) the increase in the Company’s headcount in YTD Q2 2025 compared to YTD Q2 2024 to support the global expansion as well as merit and market-based adjustments and cost of living salary increases and (ii) the salaries paid to Stronghold employees following the acquisition in the first quarter of 2025;</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$2.1 million sales tax recovery received in Q2 2024 for sales taxes paid by the Company from February 5, 2022 to April 2024 due to the Company receiving confirmation from the provincial tax authorities that Canadian sales taxes are refundable, compared to nil in YTD Q2 2025.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increase in professional services related to legal and accounting fees associated with non-recurring activities including the Stronghold Transaction and related filing fees; and</w:t>
      </w:r>
    </w:p>
    <w:p>
      <w:pPr>
        <w:ind w:left="340" w:hanging="332"/>
        <w:spacing w:after="0" w:line="26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increase in share-based payments due to higher outstanding stock options and RSU granted in connection with the Stronghold acquisition during YTD Q2 2025 compared to YTD Q2 2024.</w:t>
      </w:r>
    </w:p>
    <w:p>
      <w:pPr>
        <w:spacing w:after="0" w:line="200" w:lineRule="exact"/>
        <w:rPr>
          <w:sz w:val="20"/>
          <w:szCs w:val="20"/>
          <w:color w:val="auto"/>
        </w:rPr>
      </w:pPr>
    </w:p>
    <w:p>
      <w:pPr>
        <w:spacing w:after="0" w:line="21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financial income (expenses)</w:t>
            </w: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7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revaluation of warrants</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145</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(1,455)</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1,600</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5,763</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7,585</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(loss) on derivative assets and</w:t>
            </w:r>
          </w:p>
        </w:tc>
        <w:tc>
          <w:tcPr>
            <w:tcW w:w="9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3,740</w:t>
            </w: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vMerge w:val="continue"/>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(2,135)</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5,875</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275%</w:t>
            </w:r>
          </w:p>
        </w:tc>
        <w:tc>
          <w:tcPr>
            <w:tcW w:w="740" w:type="dxa"/>
            <w:vAlign w:val="bottom"/>
            <w:vMerge w:val="continue"/>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355</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8"/>
        </w:trPr>
        <w:tc>
          <w:tcPr>
            <w:tcW w:w="3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 Refundable Hosting</w:t>
            </w:r>
          </w:p>
        </w:tc>
        <w:tc>
          <w:tcPr>
            <w:tcW w:w="9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940" w:type="dxa"/>
            <w:vAlign w:val="bottom"/>
            <w:vMerge w:val="continue"/>
            <w:shd w:val="clear" w:color="auto" w:fill="CCEEFF"/>
          </w:tcPr>
          <w:p>
            <w:pPr>
              <w:spacing w:after="0"/>
              <w:rPr>
                <w:sz w:val="20"/>
                <w:szCs w:val="20"/>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413</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751</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460</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2,042</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(1,582)</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2,722</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on long-term debt and lease</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(2,150)</w:t>
            </w: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(2,795)</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vMerge w:val="continue"/>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(1,801)</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516%</w:t>
            </w:r>
          </w:p>
        </w:tc>
        <w:tc>
          <w:tcPr>
            <w:tcW w:w="740" w:type="dxa"/>
            <w:vAlign w:val="bottom"/>
            <w:vMerge w:val="continue"/>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(156)</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787</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75</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1,110</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(1,035)</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444</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7"/>
        </w:trPr>
        <w:tc>
          <w:tcPr>
            <w:tcW w:w="42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2,143</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(1,317)</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3,460</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4,253</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10,126</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(5,873)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2025 v. Q2 2024</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net financial income was $2.1 million for Q2 2025, compared to a $1.3 million expense for Q2 2024. The $3.5 million favorable change was primarily related to:</w:t>
      </w:r>
    </w:p>
    <w:p>
      <w:pPr>
        <w:spacing w:after="0" w:line="1"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 million favorable change in gain (loss) on derivative assets and liabilities mainly due to:</w:t>
      </w:r>
    </w:p>
    <w:p>
      <w:pPr>
        <w:spacing w:after="0" w:line="9" w:lineRule="exact"/>
        <w:rPr>
          <w:rFonts w:ascii="Times New Roman" w:cs="Times New Roman" w:eastAsia="Times New Roman" w:hAnsi="Times New Roman"/>
          <w:sz w:val="18"/>
          <w:szCs w:val="18"/>
          <w:color w:val="auto"/>
        </w:rPr>
      </w:pPr>
    </w:p>
    <w:p>
      <w:pPr>
        <w:jc w:val="both"/>
        <w:ind w:left="1040" w:hanging="317"/>
        <w:spacing w:after="0" w:line="250" w:lineRule="auto"/>
        <w:tabs>
          <w:tab w:leader="none" w:pos="1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 of $2.0 million in Q2 2025 from the Bitcoin One Program, which includes an unrealized gain of $6.6 million on open positions, partially offset by realized loss of $4.6 million on closed positions. Refer to Section 10b - Capital Resources (</w:t>
      </w:r>
      <w:r>
        <w:rPr>
          <w:rFonts w:ascii="Times New Roman" w:cs="Times New Roman" w:eastAsia="Times New Roman" w:hAnsi="Times New Roman"/>
          <w:sz w:val="18"/>
          <w:szCs w:val="18"/>
          <w:i w:val="1"/>
          <w:iCs w:val="1"/>
          <w:color w:val="auto"/>
        </w:rPr>
        <w:t>Bitcoin One program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digital assets management);</w:t>
      </w:r>
    </w:p>
    <w:p>
      <w:pPr>
        <w:spacing w:after="0" w:line="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 of $1.8 million in Q2 2025 from the BTC Redemption Option. Refer to Note 10 to the Financial Statements; and</w:t>
      </w:r>
    </w:p>
    <w:p>
      <w:pPr>
        <w:spacing w:after="0" w:line="9" w:lineRule="exact"/>
        <w:rPr>
          <w:rFonts w:ascii="Times New Roman" w:cs="Times New Roman" w:eastAsia="Times New Roman" w:hAnsi="Times New Roman"/>
          <w:sz w:val="18"/>
          <w:szCs w:val="18"/>
          <w:color w:val="auto"/>
        </w:rPr>
      </w:pPr>
    </w:p>
    <w:p>
      <w:pPr>
        <w:ind w:left="1040" w:hanging="317"/>
        <w:spacing w:after="0" w:line="210" w:lineRule="auto"/>
        <w:tabs>
          <w:tab w:leader="none" w:pos="1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on derivative assets and liabilities of $2.1 million in Q2 2024, mainly from the unrealized loss on the change in fair value of open Synthetic HODL</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positions. Refer to Note 10 to the Financial Statements for more details.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favorable change in gain (loss) on revaluation of warrants due to the decrease in the fair value of the warrant liabilities for the 2023 private placement and Macquarie credit facility (the “2025 Warrants”) in Q2 2025 compared to the increase in the fair value of the warrant liabilities for the 2021 and 2023 private placements in Q2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favorable change was partially offset by:</w:t>
      </w:r>
    </w:p>
    <w:p>
      <w:pPr>
        <w:spacing w:after="0" w:line="27" w:lineRule="exact"/>
        <w:rPr>
          <w:sz w:val="20"/>
          <w:szCs w:val="20"/>
          <w:color w:val="auto"/>
        </w:rPr>
      </w:pPr>
    </w:p>
    <w:p>
      <w:pPr>
        <w:ind w:left="340" w:hanging="332"/>
        <w:spacing w:after="0" w:line="250"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$1.6 million decrease in interest income due to the Company’s lower average cash balance and lower interest rates during Q2 2025 compared to Q2 2024. Refer to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for details of the Company’s cash flows.</w:t>
      </w:r>
    </w:p>
    <w:p>
      <w:pPr>
        <w:ind w:left="340" w:hanging="332"/>
        <w:spacing w:after="0" w:line="260"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increase in interest on long-term debt and lease liabilities due to the interest on the Macquarie credit facility signed in April 2025, and higher interest on lease liabilities in Q2 2025 compared to Q2 2024 due to new leases.</w:t>
      </w:r>
    </w:p>
    <w:p>
      <w:pPr>
        <w:spacing w:after="0" w:line="200" w:lineRule="exact"/>
        <w:rPr>
          <w:sz w:val="20"/>
          <w:szCs w:val="20"/>
          <w:color w:val="auto"/>
        </w:rPr>
      </w:pPr>
    </w:p>
    <w:p>
      <w:pPr>
        <w:spacing w:after="0" w:line="238"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income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2025 v. YTD Q2 2024</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Bitfarms’ net financial income was $4.3 million for YTD Q2 2025, compared to $10.1 million for YTD Q2 2024. The $5.9 million decrease was mainly due to:</w:t>
      </w:r>
    </w:p>
    <w:p>
      <w:pPr>
        <w:spacing w:after="0" w:line="1" w:lineRule="exact"/>
        <w:rPr>
          <w:sz w:val="20"/>
          <w:szCs w:val="20"/>
          <w:color w:val="auto"/>
        </w:rPr>
      </w:pPr>
    </w:p>
    <w:p>
      <w:pPr>
        <w:ind w:left="260" w:right="20" w:hanging="252"/>
        <w:spacing w:after="0" w:line="250" w:lineRule="auto"/>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increase in interest on long-term debt and lease liabilities due to the interest on the Macquarie credit facility, and higher interest on lease liabilities in YTD Q2 2025 compared to YTD Q2 2024 due to new leases;</w:t>
      </w:r>
    </w:p>
    <w:p>
      <w:pPr>
        <w:jc w:val="both"/>
        <w:ind w:left="260" w:hanging="252"/>
        <w:spacing w:after="0" w:line="250" w:lineRule="auto"/>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unfavorable change in gain (loss) on revaluation of warrants due to the fair value of the warrant liabilities for the 2023 private placement and Macquarie credit facility in YTD Q2 2025 decreasing less than the fair value of the warrant liabilities for the 2021 and 2023 private placements in YTD Q2 2024;</w:t>
      </w:r>
    </w:p>
    <w:p>
      <w:pPr>
        <w:spacing w:after="0" w:line="1" w:lineRule="exact"/>
        <w:rPr>
          <w:rFonts w:ascii="Times New Roman" w:cs="Times New Roman" w:eastAsia="Times New Roman" w:hAnsi="Times New Roman"/>
          <w:sz w:val="18"/>
          <w:szCs w:val="18"/>
          <w:color w:val="auto"/>
        </w:rPr>
      </w:pPr>
    </w:p>
    <w:p>
      <w:pPr>
        <w:ind w:left="260" w:hanging="252"/>
        <w:spacing w:after="0" w:line="260" w:lineRule="auto"/>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$1.3 million decrease in interest income due to the Company’s lower average cash balance during YTD Q2 2025 compared to YTD Q2 2024. Refer to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for details of the Company’s cash flows.</w:t>
      </w:r>
    </w:p>
    <w:p>
      <w:pPr>
        <w:spacing w:after="0" w:line="200" w:lineRule="exact"/>
        <w:rPr>
          <w:sz w:val="20"/>
          <w:szCs w:val="20"/>
          <w:color w:val="auto"/>
        </w:rPr>
      </w:pPr>
    </w:p>
    <w:p>
      <w:pPr>
        <w:spacing w:after="0" w:line="21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of 2025</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as a result of the decline of the Company’s market capitalization and BTC price, the Company performed separate evaluations of the recoverable amount of the assets for operating cryptocurrency mining facilities in Canada, United States, Argentina and Paraguay. The Company also observed an increase in gas prices which affects the Company’s cost of energy in Argentina. The recoverable amount for the Argentina cash generating unit (“CGU”) was calculated using the value in use model, which was determined to be lower than its carrying amount. Based on its calculation, the Company determined that an impairment loss should be recorded on its Argentina CGU.</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details of the key assumptions used in the calculations, refer to Note 12 -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to the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7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0" w:type="dxa"/>
            <w:vAlign w:val="bottom"/>
            <w:tcBorders>
              <w:bottom w:val="single" w:sz="8" w:color="auto"/>
            </w:tcBorders>
          </w:tcPr>
          <w:p>
            <w:pPr>
              <w:spacing w:after="0"/>
              <w:rPr>
                <w:sz w:val="20"/>
                <w:szCs w:val="20"/>
                <w:color w:val="auto"/>
              </w:rPr>
            </w:pPr>
          </w:p>
        </w:tc>
      </w:tr>
      <w:tr>
        <w:trPr>
          <w:trHeight w:val="2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Argentina CGU</w:t>
            </w: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1,430</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1,661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13,190</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13,190</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28,766</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28,766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3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14,620</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30,530</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30,530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Miners held for sale</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1,320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7"/>
        </w:trPr>
        <w:tc>
          <w:tcPr>
            <w:tcW w:w="3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31,850</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31,850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2025</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result of the suspension of the Mining activities in Argentina, the Company performed an evaluation of the recoverable amount of the assets for operating cryptocurrency mining facilities in Argentina. The recoverable amount for the Argentina CGU was calculated using fair value less costs of disposal, which was determined to be lower than its carrying amount. Based on its calculation, the Company determined that an impairment loss should be recorded on its Argentina CGU in the amount of $14.6 million during Q2 2025, of which $13.2 million was allocated to PPE and $1.4 million to equipment and construction prepayments. The impairment loss was recognized in profit or loss under Impairment on non-financial assets, compared to an impairment loss of nil in Q2 2024. Refer to Section 19 - Risk Factors (The Company’s operations in Rio Cuarto have been suspended due to a halt in its supply of electrical power on May 12,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2025 YTD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impairment loss on the Company’s Argentina CGU recorded in YTD Q2 2025 amounted to $30.5 million, of which $28.8 million was allocated to PPE, $1.7 million to equipment and construction prepayments and $0.1 million to right-of-use (“ROU”) assets. The impairment loss was recognized in profit or loss under Impairment on non-financial assets, compared to an impairment loss of nil in YTD Q2 2024.</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assets included in the Argentina CGU were funded through a funding mechanism facilitating the favorable conversion of U.S. dollars to Argentine Pesos, which generated a gain on disposition of marketable securities. The gain on disposition of marketable securities is reflected in the value of the assets before any impairment charge is incurred. The combined impact of the cumulative impairment charges on the operating Argentina CGU and the cumulative gain on disposition of marketable securities from Argentina is reflected as an expense of $48.8 million in profit or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recorded an impairment loss of $1.3 million on its Miners held for sale in YTD Q2 2025 as compared to nil in YTD Q2 2024.</w:t>
      </w:r>
    </w:p>
    <w:p>
      <w:pPr>
        <w:spacing w:after="0" w:line="200" w:lineRule="exact"/>
        <w:rPr>
          <w:sz w:val="20"/>
          <w:szCs w:val="20"/>
          <w:color w:val="auto"/>
        </w:rPr>
      </w:pPr>
    </w:p>
    <w:p>
      <w:pPr>
        <w:spacing w:after="0" w:line="255"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SELECTED QUARTERLY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earnings per share)</w:t>
            </w: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Q1 2025</w:t>
            </w: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Q4 2024</w:t>
            </w: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Q3 2024</w:t>
            </w: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Q2 2024</w:t>
            </w: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Q1 2024</w:t>
            </w: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Q4 2023</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Q3 2023</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66,848</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56,163</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44,853</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41,548</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50,317</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46,241</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34,596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(28,844)</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(35,875)</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15,165</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(36,649)</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(26,599)</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(5,980)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(62,045)</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(0.05)</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(0.07)</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0.03</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(0.08)</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(0.02)</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(0.05)</w:t>
            </w: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(0.07)</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0.03</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(0.08)</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(0.02)</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(0.21)</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(37,483)</w:t>
            </w: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(30,249)</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5,458</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(36,651)</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(24,895)</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(12,265)</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(62,423)</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(16,106)</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1,690</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(305)</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(2,014)</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(1,693)</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(302)</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91</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37,008</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29,693</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24,584</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28,829</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57,337</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38,977</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21,790</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21,767</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46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28"/>
                <w:szCs w:val="28"/>
                <w:b w:val="1"/>
                <w:bCs w:val="1"/>
                <w:color w:val="auto"/>
                <w:vertAlign w:val="superscript"/>
              </w:rPr>
              <w:t>(1)</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1,215</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(861)</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29,752</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(9,836)</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21,989</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26,410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(40,542)</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56"/>
        </w:trPr>
        <w:tc>
          <w:tcPr>
            <w:tcW w:w="346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3,615</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4,437</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4,021</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5,159</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1,675</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3,094</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3,906</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(1,183)</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17,230</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3,628</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2,270</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(145)</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(5,618)</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(6,314)</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(5,704)</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1,455</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(9,040)</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42,760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(391)</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(782)</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(780)</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(413)</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(338)</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(4,120)</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 Refundable Hosting</w:t>
            </w:r>
          </w:p>
        </w:tc>
        <w:tc>
          <w:tcPr>
            <w:tcW w:w="9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(945)</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Professional services not associated with</w:t>
            </w:r>
          </w:p>
        </w:tc>
        <w:tc>
          <w:tcPr>
            <w:tcW w:w="9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960" w:type="dxa"/>
            <w:vAlign w:val="bottom"/>
            <w:vMerge w:val="continue"/>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1,671</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1,287</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9,383</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3,096</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4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4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infrastructure and G&amp;A expenses </w:t>
            </w:r>
            <w:r>
              <w:rPr>
                <w:rFonts w:ascii="Times New Roman" w:cs="Times New Roman" w:eastAsia="Times New Roman" w:hAnsi="Times New Roman"/>
                <w:sz w:val="29"/>
                <w:szCs w:val="29"/>
                <w:color w:val="auto"/>
                <w:vertAlign w:val="superscript"/>
              </w:rPr>
              <w:t>(2)</w:t>
            </w: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(18,468)</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2,387</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2,485</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(5,556)</w:t>
            </w: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(437)</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(13,649)</w:t>
            </w: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3,706</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2,132</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811</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7,635</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8"/>
                <w:szCs w:val="28"/>
                <w:b w:val="1"/>
                <w:bCs w:val="1"/>
                <w:color w:val="auto"/>
                <w:vertAlign w:val="superscript"/>
              </w:rPr>
              <w:t>(1)</w:t>
            </w: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13,720</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15,086</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14,315</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5,556</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11,466</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23,324</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16,332</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8,883</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29"/>
                <w:szCs w:val="29"/>
                <w:b w:val="1"/>
                <w:bCs w:val="1"/>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40" w:hanging="332"/>
        <w:spacing w:after="0" w:line="196" w:lineRule="auto"/>
        <w:tabs>
          <w:tab w:leader="none" w:pos="340" w:val="left"/>
        </w:tabs>
        <w:numPr>
          <w:ilvl w:val="0"/>
          <w:numId w:val="8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p>
      <w:pPr>
        <w:jc w:val="both"/>
        <w:ind w:left="340" w:hanging="332"/>
        <w:spacing w:after="0" w:line="210" w:lineRule="auto"/>
        <w:tabs>
          <w:tab w:leader="none" w:pos="340" w:val="left"/>
        </w:tabs>
        <w:numPr>
          <w:ilvl w:val="0"/>
          <w:numId w:val="8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spacing w:after="0" w:line="200" w:lineRule="exact"/>
        <w:rPr>
          <w:sz w:val="20"/>
          <w:szCs w:val="20"/>
          <w:color w:val="auto"/>
        </w:rPr>
      </w:pPr>
    </w:p>
    <w:p>
      <w:pPr>
        <w:spacing w:after="0" w:line="256"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SELECTED QUARTERLY INFORMATION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BTC Mining industry experiences volatility, BTC prices are not generally subject to seasonality or seasonal effects. Seasonal fluctuations in energy supply, however, may impact the Company’s operations. The majority of the Company’s operations during the above periods were in Quebec, Canada, where power was sourced directly from Hydro-Québec, Hydro-Magog, Hydro-Sherbrooke and the City of Baie-Comeau. The Company also had operations in Washington State, United States, that were powered by the Grant County Power Utility District; operations in Pennsylvania, United States, that were powered by Stronghold and the PJM Interconnection Merchant Market; as well as operations in Paraguay that were powered by ANDE and Compañía de Luz y Fuerza S.A (“CLYFSA”). Energy rates in Argentina increase during the winter months of May through September. Among other phenomena, changing weather in Quebec (Canada), Washington State (United States), Paraguay and Argentina may impact seasonal electricity needs and costs.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may reduce the risk and extent of extreme weather and other external factors unduly affecting the Company’s overall performance.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Q2 2025 details, refer to Section 7A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6</w:t>
      </w:r>
    </w:p>
    <w:p>
      <w:pPr>
        <w:spacing w:after="0" w:line="29" w:lineRule="exact"/>
        <w:rPr>
          <w:sz w:val="20"/>
          <w:szCs w:val="20"/>
          <w:color w:val="auto"/>
        </w:rPr>
      </w:pPr>
    </w:p>
    <w:p>
      <w:pPr>
        <w:ind w:left="120" w:hanging="112"/>
        <w:spacing w:after="0"/>
        <w:tabs>
          <w:tab w:leader="none" w:pos="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 Expansion, Paraguay Expansion, and Canada Expansion</w:t>
      </w:r>
      <w:r>
        <w:rPr>
          <w:rFonts w:ascii="Times New Roman" w:cs="Times New Roman" w:eastAsia="Times New Roman" w:hAnsi="Times New Roman"/>
          <w:sz w:val="18"/>
          <w:szCs w:val="18"/>
          <w:color w:val="auto"/>
        </w:rPr>
        <w:t>) of this MD&amp;A.</w:t>
      </w:r>
    </w:p>
    <w:p>
      <w:pPr>
        <w:spacing w:after="0" w:line="200" w:lineRule="exact"/>
        <w:rPr>
          <w:sz w:val="20"/>
          <w:szCs w:val="20"/>
          <w:color w:val="auto"/>
        </w:rPr>
      </w:pPr>
    </w:p>
    <w:p>
      <w:pPr>
        <w:spacing w:after="0" w:line="236"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5780" w:firstLine="8"/>
        <w:spacing w:after="0" w:line="503" w:lineRule="auto"/>
        <w:tabs>
          <w:tab w:leader="none" w:pos="1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NON-IFRS AND OTHER FINANCIAL MEASURES AND RATIOS Non-IFRS financial measures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9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1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94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Gross Profit adjusted to exclude: (i) non-Mining revenues; (ii)</w:t>
            </w:r>
          </w:p>
        </w:tc>
        <w:tc>
          <w:tcPr>
            <w:tcW w:w="26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after</w:t>
            </w:r>
          </w:p>
        </w:tc>
        <w:tc>
          <w:tcPr>
            <w:tcW w:w="25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power  costs  in  cryptocurrency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(iii) expenses related to hosting and</w:t>
            </w: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production and other infrastructure costs. Power costs are the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 revenues; (iv) purchase of electrical components and other</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largest variable expense in Mining.</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(v) electrician salaries and payroll taxes; and (vi) sales</w:t>
            </w: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gross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recovery.</w:t>
            </w: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profitability of the Company’s digital asset Mining operations.</w:t>
            </w:r>
          </w:p>
        </w:tc>
        <w:tc>
          <w:tcPr>
            <w:tcW w:w="0" w:type="dxa"/>
            <w:vAlign w:val="bottom"/>
          </w:tcPr>
          <w:p>
            <w:pPr>
              <w:spacing w:after="0"/>
              <w:rPr>
                <w:sz w:val="1"/>
                <w:szCs w:val="1"/>
                <w:color w:val="auto"/>
              </w:rPr>
            </w:pPr>
          </w:p>
        </w:tc>
      </w:tr>
      <w:tr>
        <w:trPr>
          <w:trHeight w:val="191"/>
        </w:trPr>
        <w:tc>
          <w:tcPr>
            <w:tcW w:w="1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EBITDA</w:t>
            </w:r>
          </w:p>
        </w:tc>
        <w:tc>
          <w:tcPr>
            <w:tcW w:w="49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Net income (loss) adjusted to exclude: (i) interest expense; (ii)</w:t>
            </w:r>
          </w:p>
        </w:tc>
        <w:tc>
          <w:tcPr>
            <w:tcW w:w="5200" w:type="dxa"/>
            <w:vAlign w:val="bottom"/>
            <w:tcBorders>
              <w:top w:val="single" w:sz="8" w:color="auto"/>
            </w:tcBorders>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profitability before the impact of different financing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and (iii) depreciation and amortization.</w:t>
            </w: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methods,  income  taxes,  depreciation  of  capital  assets  and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with additional information to</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assist  them  in  understanding  components  of  the  Company’s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financial results, including a more complete understanding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factors and trends affecting its</w:t>
            </w:r>
          </w:p>
        </w:tc>
        <w:tc>
          <w:tcPr>
            <w:tcW w:w="19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performance.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Used by Management to facilitate comparisons of cash operating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performance  excluding  the  impact  of  charges  and  credits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associated  with  financing  the  operations  and  growth  of  the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Company from period to period and to prepare annual operating</w:t>
            </w:r>
          </w:p>
        </w:tc>
        <w:tc>
          <w:tcPr>
            <w:tcW w:w="0" w:type="dxa"/>
            <w:vAlign w:val="bottom"/>
          </w:tcPr>
          <w:p>
            <w:pPr>
              <w:spacing w:after="0"/>
              <w:rPr>
                <w:sz w:val="1"/>
                <w:szCs w:val="1"/>
                <w:color w:val="auto"/>
              </w:rPr>
            </w:pPr>
          </w:p>
        </w:tc>
      </w:tr>
      <w:tr>
        <w:trPr>
          <w:trHeight w:val="234"/>
        </w:trPr>
        <w:tc>
          <w:tcPr>
            <w:tcW w:w="110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budgets and forecasts.</w:t>
            </w:r>
          </w:p>
        </w:tc>
        <w:tc>
          <w:tcPr>
            <w:tcW w:w="1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94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EBITDA adjusted to exclude: (i) share-based payment; (ii) non-</w:t>
            </w:r>
          </w:p>
        </w:tc>
        <w:tc>
          <w:tcPr>
            <w:tcW w:w="520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before the impact of all of the items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finance  expenses;  (iii)  asset  impairment  charges;  (iv)</w:t>
            </w: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calculating  EBITDA  in  addition  to  certain  other  non-cash</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(reversal  of)  revaluation  loss  on  digital  assets;  (v)  gain  on</w:t>
            </w:r>
          </w:p>
        </w:tc>
        <w:tc>
          <w:tcPr>
            <w:tcW w:w="2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disposition of marketable securities, gains or losses on derivative</w:t>
            </w: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and liabilities and discount expense on VAT receivable; (vi)</w:t>
            </w: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for profitability of the Company’s core operations across time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(gain) on revaluation of warrants and warrant issuance costs;</w:t>
            </w:r>
          </w:p>
        </w:tc>
        <w:tc>
          <w:tcPr>
            <w:tcW w:w="2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periods.</w:t>
            </w: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(vii) loss on currency exchange; (viii) sales tax recovery; and (iv)</w:t>
            </w: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non-recurring items that do not reflect the core performance</w:t>
            </w: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w:t>
            </w:r>
          </w:p>
        </w:tc>
        <w:tc>
          <w:tcPr>
            <w:tcW w:w="0" w:type="dxa"/>
            <w:vAlign w:val="bottom"/>
          </w:tcPr>
          <w:p>
            <w:pPr>
              <w:spacing w:after="0"/>
              <w:rPr>
                <w:sz w:val="1"/>
                <w:szCs w:val="1"/>
                <w:color w:val="auto"/>
              </w:rPr>
            </w:pPr>
          </w:p>
        </w:tc>
      </w:tr>
      <w:tr>
        <w:trPr>
          <w:trHeight w:val="234"/>
        </w:trPr>
        <w:tc>
          <w:tcPr>
            <w:tcW w:w="110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the Company.</w:t>
            </w:r>
          </w:p>
        </w:tc>
        <w:tc>
          <w:tcPr>
            <w:tcW w:w="45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operating budgets and forecasts.</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50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4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6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50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Cost  of  revenues  adjusted  to  exclude:  (i)  depreciation  and</w:t>
            </w:r>
          </w:p>
        </w:tc>
        <w:tc>
          <w:tcPr>
            <w:tcW w:w="52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   To assess the Company’s power and hosting costs, the largest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(ii) expenses related to hosting and energy revenues;</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variable expense in Mining.</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(iii) purchases of electrical components; (iv) electrician salaries</w:t>
            </w:r>
          </w:p>
        </w:tc>
        <w:tc>
          <w:tcPr>
            <w:tcW w:w="5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payroll taxes; (v) infrastructure; (vi) sales tax recovery; and</w:t>
            </w:r>
          </w:p>
        </w:tc>
        <w:tc>
          <w:tcPr>
            <w:tcW w:w="5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Company’s direct variable cost and marginal cost for its core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(vii) other direct expenses.</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digital asset Mining operations across time periods.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period to period and to prepare annual operating budgets and</w:t>
            </w:r>
          </w:p>
        </w:tc>
        <w:tc>
          <w:tcPr>
            <w:tcW w:w="0" w:type="dxa"/>
            <w:vAlign w:val="bottom"/>
          </w:tcPr>
          <w:p>
            <w:pPr>
              <w:spacing w:after="0"/>
              <w:rPr>
                <w:sz w:val="1"/>
                <w:szCs w:val="1"/>
                <w:color w:val="auto"/>
              </w:rPr>
            </w:pPr>
          </w:p>
        </w:tc>
      </w:tr>
      <w:tr>
        <w:trPr>
          <w:trHeight w:val="234"/>
        </w:trPr>
        <w:tc>
          <w:tcPr>
            <w:tcW w:w="10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forecasts.</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w:t>
            </w:r>
          </w:p>
        </w:tc>
        <w:tc>
          <w:tcPr>
            <w:tcW w:w="502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The sum of cost of revenues and general and administrative</w:t>
            </w:r>
          </w:p>
        </w:tc>
        <w:tc>
          <w:tcPr>
            <w:tcW w:w="52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   To assess the total cash cost of the Company’s core digital asset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 before: (i) depreciation and amortization; (ii) non-cash</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Mining operations.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expense; (iii) expenses related to hosting and energy</w:t>
            </w:r>
          </w:p>
        </w:tc>
        <w:tc>
          <w:tcPr>
            <w:tcW w:w="5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revenues; (iv) purchases of electrical components; (v) electrician</w:t>
            </w:r>
          </w:p>
        </w:tc>
        <w:tc>
          <w:tcPr>
            <w:tcW w:w="5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for the liquidity impact of the Company’s mining activities across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payroll taxes; (vi) share-based payment; (vii) other</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 periods.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expenses; (viii) sales tax recovery; and (ix) other non-</w:t>
            </w:r>
          </w:p>
        </w:tc>
        <w:tc>
          <w:tcPr>
            <w:tcW w:w="5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recurring items that do not reflect the core performance of the</w:t>
            </w:r>
          </w:p>
        </w:tc>
        <w:tc>
          <w:tcPr>
            <w:tcW w:w="5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period to period and to prepare annual operating budgets and</w:t>
            </w:r>
          </w:p>
        </w:tc>
        <w:tc>
          <w:tcPr>
            <w:tcW w:w="0" w:type="dxa"/>
            <w:vAlign w:val="bottom"/>
          </w:tcPr>
          <w:p>
            <w:pPr>
              <w:spacing w:after="0"/>
              <w:rPr>
                <w:sz w:val="1"/>
                <w:szCs w:val="1"/>
                <w:color w:val="auto"/>
              </w:rPr>
            </w:pPr>
          </w:p>
        </w:tc>
      </w:tr>
      <w:tr>
        <w:trPr>
          <w:trHeight w:val="234"/>
        </w:trPr>
        <w:tc>
          <w:tcPr>
            <w:tcW w:w="10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4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forecasts.</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560" w:type="dxa"/>
            <w:vAlign w:val="bottom"/>
            <w:tcBorders>
              <w:right w:val="single" w:sz="8" w:color="auto"/>
            </w:tcBorders>
          </w:tcPr>
          <w:p>
            <w:pPr>
              <w:ind w:left="4320"/>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5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48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0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 xml:space="preserve">Gross Mining </w:t>
            </w:r>
            <w:r>
              <w:rPr>
                <w:rFonts w:ascii="Times New Roman" w:cs="Times New Roman" w:eastAsia="Times New Roman" w:hAnsi="Times New Roman"/>
                <w:sz w:val="18"/>
                <w:szCs w:val="18"/>
                <w:color w:val="auto"/>
              </w:rPr>
              <w:t>The percentage obtained when dividing Gross Mining profit by</w:t>
            </w:r>
          </w:p>
        </w:tc>
        <w:tc>
          <w:tcPr>
            <w:tcW w:w="520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Mining related revenues.</w:t>
            </w:r>
          </w:p>
        </w:tc>
        <w:tc>
          <w:tcPr>
            <w:tcW w:w="4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production, the largest variable expense in Mining.</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profitability  of  the  Company’s  core  digital  asset  Mining</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operations, exclusive of depreciation and amortization and certain</w:t>
            </w: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EBITDA</w:t>
            </w:r>
          </w:p>
        </w:tc>
        <w:tc>
          <w:tcPr>
            <w:tcW w:w="512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EBITDA by Revenues.</w:t>
            </w:r>
          </w:p>
        </w:tc>
        <w:tc>
          <w:tcPr>
            <w:tcW w:w="520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before the impact of different financing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5120" w:type="dxa"/>
            <w:vAlign w:val="bottom"/>
          </w:tcPr>
          <w:p>
            <w:pPr>
              <w:spacing w:after="0"/>
              <w:rPr>
                <w:sz w:val="19"/>
                <w:szCs w:val="19"/>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methods,  income  taxes,  depreciation  of  capital  assets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operating budgets and forecasts.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Useful  for  providing  users  of  the  MD&amp;A  with  additional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information to assist them in understanding components of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Company’s  financial  results,  including  a  more  complete</w:t>
            </w: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understanding of factors and trends affecting its performance.</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512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Adjusted EBITDA by</w:t>
            </w:r>
          </w:p>
        </w:tc>
        <w:tc>
          <w:tcPr>
            <w:tcW w:w="520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before the impact of all of the items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calculating  EBITDA  in  addition  to  certain  other  non-cash</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5120" w:type="dxa"/>
            <w:vAlign w:val="bottom"/>
          </w:tcPr>
          <w:p>
            <w:pPr>
              <w:spacing w:after="0"/>
              <w:rPr>
                <w:sz w:val="19"/>
                <w:szCs w:val="19"/>
                <w:color w:val="auto"/>
              </w:rPr>
            </w:pPr>
          </w:p>
        </w:tc>
        <w:tc>
          <w:tcPr>
            <w:tcW w:w="4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To provide a consistent comparable metric for profitability of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Company’s core performance across time periods.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w:t>
            </w: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operating budgets and forecasts.</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9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560" w:type="dxa"/>
            <w:vAlign w:val="bottom"/>
            <w:tcBorders>
              <w:right w:val="single" w:sz="8" w:color="auto"/>
            </w:tcBorders>
          </w:tcPr>
          <w:p>
            <w:pPr>
              <w:ind w:left="432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ratios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2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 Cost per</w:t>
            </w:r>
          </w:p>
        </w:tc>
        <w:tc>
          <w:tcPr>
            <w:tcW w:w="47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Direct Cost by the quantity</w:t>
            </w:r>
          </w:p>
        </w:tc>
        <w:tc>
          <w:tcPr>
            <w:tcW w:w="51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   To  assess  the  Company’s  power  costs,  the  largest  variable</w:t>
            </w:r>
          </w:p>
        </w:tc>
      </w:tr>
      <w:tr>
        <w:trPr>
          <w:trHeight w:val="22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BTC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BTC earned.</w:t>
            </w: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w:t>
            </w: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Company’s direct variable cost for its core digital asset Mining</w:t>
            </w: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operations across time periods.</w:t>
            </w: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w:t>
            </w: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period to period and to prepare annual operating budgets and</w:t>
            </w:r>
          </w:p>
        </w:tc>
      </w:tr>
      <w:tr>
        <w:trPr>
          <w:trHeight w:val="234"/>
        </w:trPr>
        <w:tc>
          <w:tcPr>
            <w:tcW w:w="128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forecasts.</w:t>
            </w:r>
          </w:p>
        </w:tc>
      </w:tr>
      <w:tr>
        <w:trPr>
          <w:trHeight w:val="187"/>
        </w:trPr>
        <w:tc>
          <w:tcPr>
            <w:tcW w:w="12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Cost</w:t>
            </w:r>
          </w:p>
        </w:tc>
        <w:tc>
          <w:tcPr>
            <w:tcW w:w="47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Total Cash cost by the</w:t>
            </w:r>
          </w:p>
        </w:tc>
        <w:tc>
          <w:tcPr>
            <w:tcW w:w="51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   To assess the total cash cost of the Company’s core digital asset</w:t>
            </w:r>
          </w:p>
        </w:tc>
      </w:tr>
      <w:tr>
        <w:trPr>
          <w:trHeight w:val="22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BTC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quantity of BTC earned.</w:t>
            </w: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Mining operations.</w:t>
            </w: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w:t>
            </w: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metric for the liquidity impact of the Company’s mining activities</w:t>
            </w: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across time periods.</w:t>
            </w:r>
          </w:p>
        </w:tc>
      </w:tr>
    </w:tbl>
    <w:p>
      <w:pPr>
        <w:ind w:left="6160"/>
        <w:spacing w:after="0"/>
        <w:tabs>
          <w:tab w:leader="none" w:pos="6460" w:val="left"/>
        </w:tabs>
        <w:rPr>
          <w:sz w:val="20"/>
          <w:szCs w:val="20"/>
          <w:color w:val="auto"/>
        </w:rPr>
      </w:pPr>
      <w:r>
        <w:rPr>
          <w:rFonts w:ascii="Times New Roman" w:cs="Times New Roman" w:eastAsia="Times New Roman" w:hAnsi="Times New Roman"/>
          <w:sz w:val="18"/>
          <w:szCs w:val="18"/>
          <w:color w:val="auto"/>
        </w:rPr>
        <w:t>●</w:t>
        <w:tab/>
        <w:t>Used by Management to assess the operating performance from</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period to period and to prepare annual operating budgets and</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50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47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4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506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Gross profit by Revenues.</w:t>
            </w:r>
          </w:p>
        </w:tc>
        <w:tc>
          <w:tcPr>
            <w:tcW w:w="476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50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506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Operating income (loss)</w:t>
            </w:r>
          </w:p>
        </w:tc>
        <w:tc>
          <w:tcPr>
            <w:tcW w:w="522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8"/>
                <w:szCs w:val="18"/>
                <w:color w:val="auto"/>
              </w:rPr>
              <w:t>●   To assess operational profitability of the Company across time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5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by Revenues.</w:t>
            </w:r>
          </w:p>
        </w:tc>
        <w:tc>
          <w:tcPr>
            <w:tcW w:w="47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periods.</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9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580" w:type="dxa"/>
            <w:vAlign w:val="bottom"/>
            <w:tcBorders>
              <w:right w:val="single" w:sz="8" w:color="auto"/>
            </w:tcBorders>
          </w:tcPr>
          <w:p>
            <w:pPr>
              <w:ind w:left="434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41,548</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36,252</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91,865</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52,783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(37,483)</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(24,895)</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(12,588)</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(67,732)</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(37,160)</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(30,572)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1,690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(1,693)</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3,383</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1,385</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(1,995)</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3,380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37,008</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57,337</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(20,329)</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66,701</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96,314</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(29,613)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(8,760)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8,760</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1,215</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21,989</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(20,774)</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354</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48,399</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3,615</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1,675</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1,940</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8,052</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4,769</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3,283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14,620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31,850</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31,850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warrants</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(145)</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1,455</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(5,763)</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(7,585)</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(413)</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384</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(420)</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(751)</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 Refundable Hosting</w:t>
            </w:r>
          </w:p>
        </w:tc>
        <w:tc>
          <w:tcPr>
            <w:tcW w:w="9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(945)</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98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Professional services not associated with</w:t>
            </w:r>
          </w:p>
        </w:tc>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1,671</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980" w:type="dxa"/>
            <w:vAlign w:val="bottom"/>
            <w:vMerge w:val="continue"/>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3,096</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(3,096)</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3,096</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infrastructure and G&amp;A expenses </w:t>
            </w:r>
            <w:r>
              <w:rPr>
                <w:rFonts w:ascii="Times New Roman" w:cs="Times New Roman" w:eastAsia="Times New Roman" w:hAnsi="Times New Roman"/>
                <w:sz w:val="29"/>
                <w:szCs w:val="29"/>
                <w:color w:val="auto"/>
                <w:vertAlign w:val="superscript"/>
              </w:rPr>
              <w:t>(1)</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(18,468)</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18,468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(16,081)</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16,081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 expense and other</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(5,556)</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2,132</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(7,688)</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(5,993)</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2,943</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(8,936)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13,720</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11,466</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2,254</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28,806</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34,790</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340" w:hanging="332"/>
        <w:spacing w:after="0" w:line="266"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spacing w:after="0" w:line="200" w:lineRule="exact"/>
        <w:rPr>
          <w:sz w:val="20"/>
          <w:szCs w:val="20"/>
          <w:color w:val="auto"/>
        </w:rPr>
      </w:pPr>
    </w:p>
    <w:p>
      <w:pPr>
        <w:spacing w:after="0" w:line="232"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(5,480)</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(11,275)</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5,795</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(6,022)</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(21,957)</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15,935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revenues¹</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(6,508)</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(1,165)</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(5,343)</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459%</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(8,493)</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(2,059)</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(6,434)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37,008</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57,337</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(20,329)</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66,701</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96,314</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(29,613)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 and energy</w:t>
            </w:r>
          </w:p>
        </w:tc>
        <w:tc>
          <w:tcPr>
            <w:tcW w:w="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6,517</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7,838</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vMerge w:val="continue"/>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6,517</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vMerge w:val="continue"/>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8,760</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830</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873</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1,707</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1,581</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infrastructure²</w:t>
            </w:r>
          </w:p>
        </w:tc>
        <w:tc>
          <w:tcPr>
            <w:tcW w:w="98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(16,366)</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16,366</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(14,338)</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14,338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1,209</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(1,209)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9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32,367</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20,650</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11,717</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61,731</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51,990</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7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77,800</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41,548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91,865</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52,783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1"/>
        </w:trPr>
        <w:tc>
          <w:tcPr>
            <w:tcW w:w="3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 the</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purpose of calculating gross Mining</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margin:</w:t>
            </w: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revenues³</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(71,292)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(30,909)</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(136,155)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(89,806)</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(46,349)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6,508</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8,493</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2,059</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6,434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hanging="332"/>
        <w:spacing w:after="0" w:line="284"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Note 29b - </w:t>
      </w:r>
      <w:r>
        <w:rPr>
          <w:rFonts w:ascii="Times New Roman" w:cs="Times New Roman" w:eastAsia="Times New Roman" w:hAnsi="Times New Roman"/>
          <w:sz w:val="18"/>
          <w:szCs w:val="18"/>
          <w:i w:val="1"/>
          <w:iCs w:val="1"/>
          <w:color w:val="auto"/>
        </w:rPr>
        <w:t>Additional Details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Statement of Profit or Loss and Comprehensive Profit or Loss (Canadian sales tax refund) </w:t>
      </w:r>
      <w:r>
        <w:rPr>
          <w:rFonts w:ascii="Times New Roman" w:cs="Times New Roman" w:eastAsia="Times New Roman" w:hAnsi="Times New Roman"/>
          <w:sz w:val="18"/>
          <w:szCs w:val="18"/>
          <w:color w:val="auto"/>
        </w:rPr>
        <w:t>to the 2024 Annual Financial Statements.</w:t>
      </w:r>
    </w:p>
    <w:p>
      <w:pPr>
        <w:spacing w:after="0" w:line="1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revenues include revenues from sale of computational power used for hashing calculations and revenues from computational power sold in exchange of services.</w:t>
      </w:r>
    </w:p>
    <w:p>
      <w:pPr>
        <w:spacing w:after="0" w:line="200" w:lineRule="exact"/>
        <w:rPr>
          <w:sz w:val="20"/>
          <w:szCs w:val="20"/>
          <w:color w:val="auto"/>
        </w:rPr>
      </w:pPr>
    </w:p>
    <w:p>
      <w:pPr>
        <w:spacing w:after="0" w:line="218"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Direct Cost and Direct Cost per BTC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83,280</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52,823</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30,457</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113,822</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36,848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(37,008)</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(57,337)</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20,329</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(66,701)</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(96,314)</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29,613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 and energy</w:t>
            </w:r>
          </w:p>
        </w:tc>
        <w:tc>
          <w:tcPr>
            <w:tcW w:w="9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(2,857)</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(3,673)</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(3,673)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vMerge w:val="continue"/>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(8,760)</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vMerge w:val="continue"/>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(830)</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(873)</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(1,707)</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(1,581)</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(15,334)</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(922)</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(14,412)</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nm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(19,011)</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(2,896)</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Infrastructure expenses related to self-</w:t>
            </w:r>
          </w:p>
        </w:tc>
        <w:tc>
          <w:tcPr>
            <w:tcW w:w="9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7,321</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8,329</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producing energy for mining</w:t>
            </w:r>
          </w:p>
        </w:tc>
        <w:tc>
          <w:tcPr>
            <w:tcW w:w="94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7,321</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3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tcBorders>
              <w:bottom w:val="single" w:sz="8" w:color="auto"/>
            </w:tcBorders>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infrastructure </w:t>
            </w:r>
            <w:r>
              <w:rPr>
                <w:rFonts w:ascii="Times New Roman" w:cs="Times New Roman" w:eastAsia="Times New Roman" w:hAnsi="Times New Roman"/>
                <w:sz w:val="29"/>
                <w:szCs w:val="29"/>
                <w:color w:val="auto"/>
                <w:vertAlign w:val="superscript"/>
              </w:rPr>
              <w:t>(1)</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16,366</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(16,366)</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14,338</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(14,338)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34,572</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18,817</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15,755</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67,907</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36,129</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31,778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718</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614</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1,557</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2"/>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48,200</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30,600</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17,600</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48,100</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23,200</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24,900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i w:val="1"/>
          <w:iCs w:val="1"/>
          <w:color w:val="auto"/>
        </w:rPr>
        <w:t xml:space="preserve">nm: </w:t>
      </w:r>
      <w:r>
        <w:rPr>
          <w:rFonts w:ascii="Times New Roman" w:cs="Times New Roman" w:eastAsia="Times New Roman" w:hAnsi="Times New Roman"/>
          <w:sz w:val="22"/>
          <w:szCs w:val="22"/>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ind w:left="340" w:hanging="332"/>
        <w:spacing w:after="0" w:line="196" w:lineRule="auto"/>
        <w:tabs>
          <w:tab w:leader="none" w:pos="340"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has been allocated to its respective periods; refer to Note 29b - </w:t>
      </w:r>
      <w:r>
        <w:rPr>
          <w:rFonts w:ascii="Times New Roman" w:cs="Times New Roman" w:eastAsia="Times New Roman" w:hAnsi="Times New Roman"/>
          <w:sz w:val="18"/>
          <w:szCs w:val="18"/>
          <w:i w:val="1"/>
          <w:iCs w:val="1"/>
          <w:color w:val="auto"/>
        </w:rPr>
        <w:t>Additional Details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 of Profit or Loss and Comprehensive Profit or Loss (Canadian sales tax refund) </w:t>
      </w:r>
      <w:r>
        <w:rPr>
          <w:rFonts w:ascii="Times New Roman" w:cs="Times New Roman" w:eastAsia="Times New Roman" w:hAnsi="Times New Roman"/>
          <w:sz w:val="18"/>
          <w:szCs w:val="18"/>
          <w:color w:val="auto"/>
        </w:rPr>
        <w:t>to the 2024 Annual Financial Statements.</w:t>
      </w:r>
    </w:p>
    <w:p>
      <w:pPr>
        <w:spacing w:after="0" w:line="200" w:lineRule="exact"/>
        <w:rPr>
          <w:sz w:val="20"/>
          <w:szCs w:val="20"/>
          <w:color w:val="auto"/>
        </w:rPr>
      </w:pPr>
    </w:p>
    <w:p>
      <w:pPr>
        <w:spacing w:after="0" w:line="229"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Total Cash Cost and Total Cash Cost per BTC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83,280</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52,823</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30,457</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113,822</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36,848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21,423</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12,402</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9,021</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41,596</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25,598</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15,998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104,703</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65,225</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39,478</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192,266</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139,420</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52,846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(37,008)</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(57,337)</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20,329</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(66,701)</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(96,314)</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29,613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(8,760)</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 and energy</w:t>
            </w: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(6,930)</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(8,304)</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vMerge w:val="continue"/>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(6,930)</w:t>
            </w:r>
          </w:p>
        </w:tc>
        <w:tc>
          <w:tcPr>
            <w:tcW w:w="12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service expense </w:t>
            </w:r>
            <w:r>
              <w:rPr>
                <w:rFonts w:ascii="Times New Roman" w:cs="Times New Roman" w:eastAsia="Times New Roman" w:hAnsi="Times New Roman"/>
                <w:sz w:val="29"/>
                <w:szCs w:val="29"/>
                <w:color w:val="auto"/>
                <w:vertAlign w:val="superscript"/>
              </w:rPr>
              <w:t>(2)</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(965)</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(830)</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(873)</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(1,707)</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(1,581)</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(3,615)</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(1,675)</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(1,940)</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(8,052)</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(4,769)</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(3,283)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Professional services not associated with</w:t>
            </w: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(1,671)</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940" w:type="dxa"/>
            <w:vAlign w:val="bottom"/>
            <w:vMerge w:val="continue"/>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(3,096)</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3,096</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vMerge w:val="continue"/>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(3,096)</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infrastructure and G&amp;A expenses </w:t>
            </w:r>
            <w:r>
              <w:rPr>
                <w:rFonts w:ascii="Times New Roman" w:cs="Times New Roman" w:eastAsia="Times New Roman" w:hAnsi="Times New Roman"/>
                <w:sz w:val="29"/>
                <w:szCs w:val="29"/>
                <w:color w:val="auto"/>
                <w:vertAlign w:val="superscript"/>
              </w:rPr>
              <w:t>(1)</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18,468</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(18,468)</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16,081</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(16,081)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415</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(3,159)</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3,159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55,355</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29,057</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26,298</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104,081</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55,342</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48,739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718</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614</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1,557</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7"/>
        </w:trPr>
        <w:tc>
          <w:tcPr>
            <w:tcW w:w="33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Cost per BTC (in U.S.</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77,100</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47,300</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29,800</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73,800</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35,500</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38,300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10" w:lineRule="auto"/>
        <w:tabs>
          <w:tab w:leader="none" w:pos="340" w:val="left"/>
        </w:tabs>
        <w:numPr>
          <w:ilvl w:val="0"/>
          <w:numId w:val="9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ind w:left="340" w:hanging="332"/>
        <w:spacing w:after="0" w:line="182" w:lineRule="auto"/>
        <w:tabs>
          <w:tab w:leader="none" w:pos="340" w:val="left"/>
        </w:tabs>
        <w:numPr>
          <w:ilvl w:val="0"/>
          <w:numId w:val="9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Non-cash service expense, included in infrastructure, which was exchanged for computational power sold.</w:t>
      </w:r>
    </w:p>
    <w:p>
      <w:pPr>
        <w:spacing w:after="0" w:line="200" w:lineRule="exact"/>
        <w:rPr>
          <w:sz w:val="20"/>
          <w:szCs w:val="20"/>
          <w:color w:val="auto"/>
        </w:rPr>
      </w:pPr>
    </w:p>
    <w:p>
      <w:pPr>
        <w:spacing w:after="0" w:line="227"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(a) strategically selling the BTC it earns and the BTC it holds in treasury and (b) utilizing short-term debt, long-term debt and equity instruments (including the 2024 ATM Program) to fund its expansion activities, operating expenses and debt service requirements. The Company may require additional funds to complete its 2025 and 2026 growth plans discussed in Section 6 - </w:t>
      </w:r>
      <w:r>
        <w:rPr>
          <w:rFonts w:ascii="Times New Roman" w:cs="Times New Roman" w:eastAsia="Times New Roman" w:hAnsi="Times New Roman"/>
          <w:sz w:val="18"/>
          <w:szCs w:val="18"/>
          <w:i w:val="1"/>
          <w:iCs w:val="1"/>
          <w:color w:val="auto"/>
        </w:rPr>
        <w:t>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Projects </w:t>
      </w:r>
      <w:r>
        <w:rPr>
          <w:rFonts w:ascii="Times New Roman" w:cs="Times New Roman" w:eastAsia="Times New Roman" w:hAnsi="Times New Roman"/>
          <w:sz w:val="18"/>
          <w:szCs w:val="18"/>
          <w:color w:val="auto"/>
        </w:rPr>
        <w:t>of this MD&amp;A.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Javier Milei. Many of the foreign exchange restrictions implemented in 2019 are still in place, particularly for imports and dividend payments related to transactions before December 13, 2023.</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11, 2025, the International Monetary Fund approved a new $20 billion, 48-month support program for Argentina. At the same time, the Central Bank of Argentina introduced a floating exchange rate system ranging from 1,000 to 1,400 ARS per USD, gradually widening about 1% per month. The central bank will intervene if rates move outside this band, directly affecting the money supply. Capital and currency controls were also eased, improving access to the official exchange market for individuals, businesses, importers, and foreign dividend payments (from 2025 onward). The central bank has issued BOPREAL bonds to address pre-2025 undistributed dividends. The full impact of these changes on Bitfarms remains uncertain as of this MD&amp;A.</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sent funds periodically to its Argentinian subsidiary to fund its expansion and operations based on supplier invoices that are paid by the Argentinian subsidiary. The Argentinian subsidiary provided Hashrate services for a market-based fee to its Canadian parent which, in turn, purchased that Hashrate to consolidate and sell to a third-party Mining Pool for which the Canadian parent is compensated in BTC. Accordingly, the Argentinian subsidiary is not structured or contemplated to generate substantial cash flows above its internal requirements.</w:t>
      </w:r>
    </w:p>
    <w:p>
      <w:pPr>
        <w:spacing w:after="0" w:line="200" w:lineRule="exact"/>
        <w:rPr>
          <w:sz w:val="20"/>
          <w:szCs w:val="20"/>
          <w:color w:val="auto"/>
        </w:rPr>
      </w:pPr>
    </w:p>
    <w:p>
      <w:pPr>
        <w:spacing w:after="0" w:line="209"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tc>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20" w:type="dxa"/>
            <w:vAlign w:val="bottom"/>
            <w:tcBorders>
              <w:bottom w:val="single" w:sz="8" w:color="auto"/>
            </w:tcBorders>
          </w:tcPr>
          <w:p>
            <w:pPr>
              <w:spacing w:after="0"/>
              <w:rPr>
                <w:sz w:val="24"/>
                <w:szCs w:val="24"/>
                <w:color w:val="auto"/>
              </w:rPr>
            </w:pPr>
          </w:p>
        </w:tc>
      </w:tr>
      <w:tr>
        <w:trPr>
          <w:trHeight w:val="209"/>
        </w:trPr>
        <w:tc>
          <w:tcPr>
            <w:tcW w:w="5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5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59,542</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84,038</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(24,496)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5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Cash flows from (used in):</w:t>
            </w: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(93,106)</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(55,391)</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(37,715)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74,030</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(68,506)</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142,536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69,936</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178,362</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(108,426)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5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w:t>
            </w: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7"/>
        </w:trPr>
        <w:tc>
          <w:tcPr>
            <w:tcW w:w="55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110,439</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138,619</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(28,180)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flows used in operating activities increased by $37.7 million during YTD Q2 2025 compared to YTD Q2 2024. The Company’s operating cash flows are negative as the proceeds from the BTC sold from its Mining operations are classified within investing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used in operating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G&amp;A expenses, net of sales tax refund, of $12.7 million as explained in Section 7C - </w:t>
      </w:r>
      <w:r>
        <w:rPr>
          <w:rFonts w:ascii="Times New Roman" w:cs="Times New Roman" w:eastAsia="Times New Roman" w:hAnsi="Times New Roman"/>
          <w:sz w:val="18"/>
          <w:szCs w:val="18"/>
          <w:i w:val="1"/>
          <w:iCs w:val="1"/>
          <w:color w:val="auto"/>
        </w:rPr>
        <w:t>Financial Performance - General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expenses </w:t>
      </w:r>
      <w:r>
        <w:rPr>
          <w:rFonts w:ascii="Times New Roman" w:cs="Times New Roman" w:eastAsia="Times New Roman" w:hAnsi="Times New Roman"/>
          <w:sz w:val="18"/>
          <w:szCs w:val="18"/>
          <w:color w:val="auto"/>
        </w:rPr>
        <w:t>of this MD&amp;A; and</w:t>
      </w:r>
    </w:p>
    <w:p>
      <w:pPr>
        <w:ind w:left="660" w:hanging="328"/>
        <w:spacing w:after="0" w:line="260"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energy costs of $33.7 million, including the sales tax recovery of $17.0 million recognized during YTD Q2 2024 for energy costs, and infrastructure expenses of $16.1 million, as explained in Section 7B - </w:t>
      </w:r>
      <w:r>
        <w:rPr>
          <w:rFonts w:ascii="Times New Roman" w:cs="Times New Roman" w:eastAsia="Times New Roman" w:hAnsi="Times New Roman"/>
          <w:sz w:val="18"/>
          <w:szCs w:val="18"/>
          <w:i w:val="1"/>
          <w:iCs w:val="1"/>
          <w:color w:val="auto"/>
        </w:rPr>
        <w:t>Financial Performance - Cost of Revenues</w:t>
      </w:r>
      <w:r>
        <w:rPr>
          <w:rFonts w:ascii="Times New Roman" w:cs="Times New Roman" w:eastAsia="Times New Roman" w:hAnsi="Times New Roman"/>
          <w:sz w:val="18"/>
          <w:szCs w:val="18"/>
          <w:color w:val="auto"/>
        </w:rPr>
        <w:t xml:space="preserve"> of this MD&amp;A.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working capital of $26.0 million as explained in Section 11 </w:t>
      </w:r>
      <w:r>
        <w:rPr>
          <w:rFonts w:ascii="Times New Roman" w:cs="Times New Roman" w:eastAsia="Times New Roman" w:hAnsi="Times New Roman"/>
          <w:sz w:val="18"/>
          <w:szCs w:val="18"/>
          <w:i w:val="1"/>
          <w:iCs w:val="1"/>
          <w:color w:val="auto"/>
        </w:rPr>
        <w:t>- Financial Position</w:t>
      </w:r>
      <w:r>
        <w:rPr>
          <w:rFonts w:ascii="Times New Roman" w:cs="Times New Roman" w:eastAsia="Times New Roman" w:hAnsi="Times New Roman"/>
          <w:sz w:val="18"/>
          <w:szCs w:val="18"/>
          <w:color w:val="auto"/>
        </w:rPr>
        <w:t xml:space="preserve"> of this MD&amp;A.</w:t>
      </w:r>
    </w:p>
    <w:p>
      <w:pPr>
        <w:spacing w:after="0" w:line="200" w:lineRule="exact"/>
        <w:rPr>
          <w:sz w:val="20"/>
          <w:szCs w:val="20"/>
          <w:color w:val="auto"/>
        </w:rPr>
      </w:pPr>
    </w:p>
    <w:p>
      <w:pPr>
        <w:spacing w:after="0" w:line="236"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 increased by $142.5 million during YTD Q2 2025 compared to YTD Q2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from investing activities is driven primarily by:</w:t>
      </w:r>
    </w:p>
    <w:p>
      <w:pPr>
        <w:spacing w:after="0" w:line="27" w:lineRule="exact"/>
        <w:rPr>
          <w:sz w:val="20"/>
          <w:szCs w:val="20"/>
          <w:color w:val="auto"/>
        </w:rPr>
      </w:pPr>
    </w:p>
    <w:p>
      <w:pPr>
        <w:ind w:left="660" w:right="20" w:hanging="328"/>
        <w:spacing w:after="0" w:line="250"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proceeds from sale of digital assets earned of $54.4 million as a result of higher BTC prices when selling 1,480 BTC in YTD Q2 2025 compared to lower BTC prices when selling 1,456 BTC in YTD Q2 2024;</w:t>
      </w:r>
    </w:p>
    <w:p>
      <w:pPr>
        <w:ind w:left="660" w:hanging="328"/>
        <w:spacing w:after="0" w:line="250"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 million of net additions of PPE during YTD Q2 2025, compared to $121.6 million for the same period in 2024, primarily due to the acquisition of Miners and infrastructure build-out;</w:t>
      </w:r>
    </w:p>
    <w:p>
      <w:pPr>
        <w:ind w:left="660" w:hanging="328"/>
        <w:spacing w:after="0" w:line="250"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$47.5 million of proceeds received from the sale of the Yguazu Mining Site, as described in Note 6 - </w:t>
      </w:r>
      <w:r>
        <w:rPr>
          <w:rFonts w:ascii="Times New Roman" w:cs="Times New Roman" w:eastAsia="Times New Roman" w:hAnsi="Times New Roman"/>
          <w:sz w:val="18"/>
          <w:szCs w:val="18"/>
          <w:i w:val="1"/>
          <w:iCs w:val="1"/>
          <w:color w:val="auto"/>
        </w:rPr>
        <w:t>Sale of the Yguazu Mining Site</w:t>
      </w:r>
      <w:r>
        <w:rPr>
          <w:rFonts w:ascii="Times New Roman" w:cs="Times New Roman" w:eastAsia="Times New Roman" w:hAnsi="Times New Roman"/>
          <w:sz w:val="18"/>
          <w:szCs w:val="18"/>
          <w:color w:val="auto"/>
        </w:rPr>
        <w:t xml:space="preserve"> to the Financial Statements;</w:t>
      </w:r>
    </w:p>
    <w:p>
      <w:pPr>
        <w:ind w:left="660" w:right="20" w:hanging="328"/>
        <w:spacing w:after="0" w:line="250"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million in advance payments YTD Q2 2025, compared to $31.0 million in advanced payments during YTD Q2 2024, mainly for the fleet upgrade; and</w:t>
      </w:r>
    </w:p>
    <w:p>
      <w:pPr>
        <w:ind w:left="660" w:hanging="328"/>
        <w:spacing w:after="0" w:line="260"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million of net proceeds from disposition of derivative assets and liabilities in YTD Q2 2025, as described in Note 10- </w:t>
      </w:r>
      <w:r>
        <w:rPr>
          <w:rFonts w:ascii="Times New Roman" w:cs="Times New Roman" w:eastAsia="Times New Roman" w:hAnsi="Times New Roman"/>
          <w:sz w:val="18"/>
          <w:szCs w:val="18"/>
          <w:i w:val="1"/>
          <w:iCs w:val="1"/>
          <w:color w:val="auto"/>
        </w:rPr>
        <w:t>Derivative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to the Financial Statements, compared to nil in YTD Q2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line="260"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Stronghold for $48.1 million in YTD Q2 2025, as described in Note 5 -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to the Financial Statements, compared to nil in YTD Q2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decreased by $108.4 million from $178.4 million for YTD Q2 2024 to $69.9 million for YTD Q2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i w:val="1"/>
          <w:iCs w:val="1"/>
          <w:color w:val="auto"/>
        </w:rPr>
        <w:t>Q2 2025</w:t>
      </w:r>
    </w:p>
    <w:p>
      <w:pPr>
        <w:spacing w:after="0" w:line="29"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 $23.6 million of net proceeds from its 2024 ATM Program as discussed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 $50.0 million through the Macquarie credit facility and incurred $3.2 million professional fees.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payments primarily relating to lease liabilities of approximately $1.0 million.</w:t>
      </w:r>
    </w:p>
    <w:p>
      <w:pPr>
        <w:spacing w:after="0" w:line="200" w:lineRule="exact"/>
        <w:rPr>
          <w:sz w:val="20"/>
          <w:szCs w:val="20"/>
          <w:color w:val="auto"/>
        </w:rPr>
      </w:pPr>
    </w:p>
    <w:p>
      <w:pPr>
        <w:spacing w:after="0" w:line="236"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i w:val="1"/>
          <w:iCs w:val="1"/>
          <w:color w:val="auto"/>
        </w:rPr>
        <w:t>Q2 2024</w:t>
      </w:r>
    </w:p>
    <w:p>
      <w:pPr>
        <w:spacing w:after="0" w:line="29"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$174.5 million of net proceeds from its 2024 ATM Program as discussed below, partially offset by $0.9 million of capitalized professional fees and registration expenses to initiate the 2024 ATM Program;</w:t>
      </w:r>
    </w:p>
    <w:p>
      <w:pPr>
        <w:ind w:left="1300" w:hanging="320"/>
        <w:spacing w:after="0"/>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million of net proceeds from the exercise of stock options and warrants;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from the sale and leaseback of its Garlock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and one-time payments relating to: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$4.0 million to fully repay the NYDIG loan, which matured and expired in February 2024;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of approximately $1.4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commenced the 2024 ATM Program on March 11, 2024, by means of a prospectus supplement dated March 8, 2024 (“March Supplement”), to the Company’s short form base shelf prospectus dated November 10, 2023 (“Base Shelf”), and U.S. registration statement on Form F-10, which included a prospectus supplement related to the 2024 ATM Program. The Company may, at its discretion and from time-to-time, sell common shares of the Company in the 2024 ATM Program as for aggregate gross proceeds of up to $375.0 million. The Company capitalized $0.9 million of professional fees and registration expenses to initiate the 2024 ATM Program.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amended and restated prospectus supplements dated October 4, 2024, and December 17, 2024, providing disclosure regarding the Stronghold Transaction and the restatement of the Company’s 2023 annual consolidated financial statements and MD&amp;A for the year ended December 31, 2023 and interim consolidated financial statements and MD&amp;A for the nine months ended September 30, 2024, respectively, and amending and restating the March Supplement, to the Company’s existing $375.0 million Base Shelf, with both the Base Shelf and amended and restated prospectus supplement forming a part of the Company’s registration statement on Form F-10.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2025 v. Q2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2025, the Company did not issue common shares through the 2024 ATM Program.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 issued 67,198,859 common shares through the 2024 ATM Program in exchange for gross proceeds of $140.8 million at an average share price of approximately $2.10. The Company received net proceeds of $136.4 million after paying commissions of $4.2 million to the sales agent, in addition to $0.2 million of other transaction fees.</w:t>
      </w:r>
    </w:p>
    <w:p>
      <w:pPr>
        <w:spacing w:after="0" w:line="200" w:lineRule="exact"/>
        <w:rPr>
          <w:sz w:val="20"/>
          <w:szCs w:val="20"/>
          <w:color w:val="auto"/>
        </w:rPr>
      </w:pPr>
    </w:p>
    <w:p>
      <w:pPr>
        <w:spacing w:after="0" w:line="205"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At-The-Market Equity Offering Program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2025 v. YTD Q2 2024</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YTD Q2 2025, the Company issued 14,444,643 common shares in the 2024 ATM Program in exchange for gross proceeds of $24.4 million at an average share price of approximately $1.69. The Company received net proceeds of $23.6 million after paying commissions of $0.8 million to the sales agent.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YTD Q2 2024, the Company issued 84,196,144 common shares in the 2024 ATM program in exchange for gross proceeds of $180.2 million at an average share price of approximately $2.14. The Company received net proceeds of $174.5 million after paying commissions of $5.4 million to the sales agent, in addition to $0.3 million of other transaction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used the proceeds from the 2024 ATM Program prudently to support the growth and development of the Company’s major Mining capital expenditure program, as described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The Company does not intend to make significant further capital investments in mining in the near future as it emphasizes its HPC data center development. Described below are the actual use of proceeds from the commencement of the 2024 ATM Program through June 30,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Use of proceeds from</w:t>
            </w:r>
          </w:p>
        </w:tc>
      </w:tr>
      <w:tr>
        <w:trPr>
          <w:trHeight w:val="216"/>
        </w:trPr>
        <w:tc>
          <w:tcPr>
            <w:tcW w:w="6780" w:type="dxa"/>
            <w:vAlign w:val="bottom"/>
          </w:tcPr>
          <w:p>
            <w:pPr>
              <w:spacing w:after="0"/>
              <w:rPr>
                <w:sz w:val="18"/>
                <w:szCs w:val="18"/>
                <w:color w:val="auto"/>
              </w:rPr>
            </w:pP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11, 2024 to</w:t>
            </w:r>
          </w:p>
        </w:tc>
      </w:tr>
      <w:tr>
        <w:trPr>
          <w:trHeight w:val="238"/>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4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 fleet upgrade</w:t>
            </w:r>
          </w:p>
        </w:tc>
        <w:tc>
          <w:tcPr>
            <w:tcW w:w="4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222,261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Paso Pe (Paraguay) expansion</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27,506</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Baie-Comeau (Canada) expansion</w:t>
            </w:r>
          </w:p>
        </w:tc>
        <w:tc>
          <w:tcPr>
            <w:tcW w:w="4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9,200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Yguazu (Paraguay) expansion</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31,506</w:t>
            </w:r>
          </w:p>
        </w:tc>
      </w:tr>
      <w:tr>
        <w:trPr>
          <w:trHeight w:val="216"/>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(United States) expansion</w:t>
            </w:r>
          </w:p>
        </w:tc>
        <w:tc>
          <w:tcPr>
            <w:tcW w:w="4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23,607</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Used proceeds</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314,080</w:t>
            </w:r>
          </w:p>
        </w:tc>
      </w:tr>
      <w:tr>
        <w:trPr>
          <w:trHeight w:val="216"/>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to sales agents and other transaction costs</w:t>
            </w:r>
          </w:p>
        </w:tc>
        <w:tc>
          <w:tcPr>
            <w:tcW w:w="4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10,211</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proceeds raised</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324,291</w:t>
            </w:r>
          </w:p>
        </w:tc>
      </w:tr>
      <w:tr>
        <w:trPr>
          <w:trHeight w:val="216"/>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proceeds available</w:t>
            </w:r>
          </w:p>
        </w:tc>
        <w:tc>
          <w:tcPr>
            <w:tcW w:w="4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375,000</w:t>
            </w:r>
          </w:p>
        </w:tc>
      </w:tr>
      <w:tr>
        <w:trPr>
          <w:trHeight w:val="216"/>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Remaining proceeds available</w:t>
            </w:r>
          </w:p>
        </w:tc>
        <w:tc>
          <w:tcPr>
            <w:tcW w:w="4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50,709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2025 v. YTD Q2 2024</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YTD Q2 2024, 5,000,000 warrants and 111,111 broker warrants related to the 2023 private placement were exercised, resulting in the issuance of 5,111,111 common shares for proceeds of approximately $6.0 million. During YTD Q2 2025, no warrants were exercised.</w:t>
      </w:r>
    </w:p>
    <w:p>
      <w:pPr>
        <w:spacing w:after="0" w:line="200" w:lineRule="exact"/>
        <w:rPr>
          <w:sz w:val="20"/>
          <w:szCs w:val="20"/>
          <w:color w:val="auto"/>
        </w:rPr>
      </w:pPr>
    </w:p>
    <w:p>
      <w:pPr>
        <w:spacing w:after="0" w:line="21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financial resources that will enable the Company to maximize the return to its shareholders while optimizing its cost of capital and ensuring the Company has sufficient liquidity to fund its operating and growth activities. In order to achieve this objective, the Company monitors its capital structure and makes adjustments as required in light of the Company’s funding requirements, changes in economic conditions, the cost of providing and availability of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fund its 2025 and 2026 expansion plans and to complete construction of additional HPC data centers, if the Company elects to do so. In order to achieve its business objectives, the Company may sell or borrow against the BTC that are held in treasury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On August 1, 2022, Management received approval from the Board to sell daily production, in addition to any sale of up to 1,000 BTC from treasury, should market conditions and the Company’s projected financing requirements justify such sales in Management’s discretion.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are the total BTC sold and proceeds in YTD Q2 2025, which was used to fund operations and expansion plans:</w:t>
      </w:r>
    </w:p>
    <w:p>
      <w:pPr>
        <w:spacing w:after="0" w:line="221"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Borders>
              <w:top w:val="single" w:sz="8" w:color="auto"/>
            </w:tcBorders>
          </w:tcPr>
          <w:p>
            <w:pPr>
              <w:spacing w:after="0"/>
              <w:rPr>
                <w:sz w:val="16"/>
                <w:szCs w:val="16"/>
                <w:color w:val="auto"/>
              </w:rPr>
            </w:pPr>
          </w:p>
        </w:tc>
        <w:tc>
          <w:tcPr>
            <w:tcW w:w="388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3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Quantity of BTC sold</w:t>
            </w:r>
          </w:p>
        </w:tc>
        <w:tc>
          <w:tcPr>
            <w:tcW w:w="3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1,052</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6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proceeds</w:t>
            </w:r>
          </w:p>
        </w:tc>
        <w:tc>
          <w:tcPr>
            <w:tcW w:w="3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100,471</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37,263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1,176 BTC as of June 30, 2025, of which 625 BTC are restricted and relate to the deposits for Miners with the option to redeem and the Bitcoin One program, valued at approximately $126.0 million based on a BTC price of approximately $107,101, as of June 30, 2025.</w:t>
      </w:r>
    </w:p>
    <w:p>
      <w:pPr>
        <w:spacing w:after="0" w:line="200" w:lineRule="exact"/>
        <w:rPr>
          <w:sz w:val="20"/>
          <w:szCs w:val="20"/>
          <w:color w:val="auto"/>
        </w:rPr>
      </w:pPr>
    </w:p>
    <w:p>
      <w:pPr>
        <w:spacing w:after="0" w:line="205"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operators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 subsidiary of Coinbase Global, Inc. (“Coinbase”)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If the Company was to face challenges with one of its custodians, the Company could transfer digital assets between custodians and has its own multi-signature wallets as a contingency plan that would have a minimal impact on the Company’s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11, 2025, the Company has 1,402 BTC, valued at $168.2 million on its balance sheet, based on a price of $120,000 per BTC. As of the date of this MD&amp;A, 88% of the Company’s BTC are held in custody with Coinbase Custody and Anchorage Digital with the remaining 12% held by third parties and classified as restricted digital assets in the statement of financial position.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Coinbase Custody maintains an insurance policy of $100.0 million for its cold storage and Anchorage Digital maintains an insurance policy of $100.0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July 31, 2025,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200" w:lineRule="exact"/>
        <w:rPr>
          <w:sz w:val="20"/>
          <w:szCs w:val="20"/>
          <w:color w:val="auto"/>
        </w:rPr>
      </w:pPr>
    </w:p>
    <w:p>
      <w:pPr>
        <w:spacing w:after="0" w:line="22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One program for digital assets management</w:t>
      </w:r>
    </w:p>
    <w:p>
      <w:pPr>
        <w:spacing w:after="0" w:line="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February 2025, the Board approved the launch of the Bitcoin One initiative as the successor to the Company’s retired hedging program and Synthetic HODL</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program for digital assets management, which was deployed in February 2025 and is under strategic review since August 1, 2025. Bitcoin One is a quantitative investment multi-strategy program that employs leverage to accelerate BTC accumulation. The Board authorized the risk management committee to deploy up to (i) 100% of the Company’s BTC in treasury, plus (ii) three months of expected forward production calculated on a rolling basis, plus (iii) $10.0 million under Bitcoin One to be actively managed and participate in volatility-targeting strategies.</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Bitcoin One focuses on active BTC treasury management through discretionary and rules-based trading algorithms and an active managed volatility targeting program that trades crypto volatility as an asset class and harvests the risk premium that arises from that volatility.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creates a “Synthetic BTC” by utilizing long call options on BTC and a funding mechanism. The call option generates exponentially higher returns than BTC as price increases. The funding mechanism provides the means to pay for the premium of the call option, typically involved selling insurance to market participants such as hedgers and/or extracted a risk premium from structural features in BTC volatility.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Using Synthetic BTC alongside conventional HODL allows the Company to be more adaptive and aggressive towards BTC. The Synthetic BTC uses call options that may outperform BTC and may optimize capital efficiency through call option funding mechanisms.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performance and innovation of Synthetic BTCs alongside the Company’s conventional treasury positions the Company for an aggressive play on BTC and enables its investors to benefit from a truly unique BTC treasury strategy.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incurred a net gain of $2.0 million and $0.5 million, respectively, which consisted of unrealized gains on open positions of $6.6 million and $0.2 million, respectively, and realized losses on closed positions of $4.6 million and realized gains of $0.2 million, respectively.</w:t>
      </w:r>
    </w:p>
    <w:p>
      <w:pPr>
        <w:spacing w:after="0" w:line="172"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June 30,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2029 and</w:t>
            </w: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60" w:type="dxa"/>
            <w:vAlign w:val="bottom"/>
          </w:tcPr>
          <w:p>
            <w:pPr>
              <w:spacing w:after="0"/>
              <w:rPr>
                <w:sz w:val="20"/>
                <w:szCs w:val="20"/>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15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38,096</w:t>
            </w:r>
          </w:p>
        </w:tc>
        <w:tc>
          <w:tcPr>
            <w:tcW w:w="12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2,451</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4,598</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56,671</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407</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3,250</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1,947</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4,727</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4,629</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3,917</w:t>
            </w: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15,801</w:t>
            </w:r>
          </w:p>
        </w:tc>
        <w:tc>
          <w:tcPr>
            <w:tcW w:w="7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42,494</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9,325</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61,300</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4,324</w:t>
            </w: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19,051</w:t>
            </w:r>
          </w:p>
        </w:tc>
        <w:tc>
          <w:tcPr>
            <w:tcW w:w="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136,494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right w:val="single" w:sz="8" w:color="auto"/>
            </w:tcBorders>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Lawsuits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resolved legal cases which have accrued balances as of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3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57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FERC Matters</w:t>
            </w:r>
          </w:p>
        </w:tc>
        <w:tc>
          <w:tcPr>
            <w:tcW w:w="3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i.</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1,065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Stronghold Shareholder Securities Lawsuit</w:t>
            </w:r>
          </w:p>
        </w:tc>
        <w:tc>
          <w:tcPr>
            <w:tcW w:w="3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ii.</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2,036</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settlement accruals</w:t>
            </w:r>
          </w:p>
        </w:tc>
        <w:tc>
          <w:tcPr>
            <w:tcW w:w="3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3,101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(1,286)</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discounting</w:t>
            </w:r>
          </w:p>
        </w:tc>
        <w:tc>
          <w:tcPr>
            <w:tcW w:w="3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3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1,698</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undiscounted legal settlement accruals amounted to $3.1 million as of June 30, 2025 and were recorded in accounts payable and accrued liabilities and other non-current liabilities in the consolidated statements of financial position of the Financial Statements (December 31, 2024: nil).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Federal Energy Regulatory Commission (“FERC”) Matters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May 11, 2022, the Division of Investigations of the FERC Office of Enforcement (“OE”) informed the Company that the OE was conducting a non-public preliminary investigation concerning Scrubgrass’ compliance with various aspects of the PJM tariff.</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30, 2025, the Federal Energy Regulatory Commission (the “Commission”) approved a Stipulation and Settlement Agreement between the OE and Scrubgrass (the “Settlement Agreement”). Pursuant to the Settlement Agreement, Scrubgrass agreed to: (a) disgorge to PJM $0.7 million in capacity revenues received during the relevant period; (b) pay a civil penalty of $0.7 million for a total of $1.4 million to the United States Treasury; and (c) provide compliance training to relevant personnel and compliance monitoring reports. Scrubgrass is to pay the settlement amount over a period of three years. In the first year, Scrubgrass is to pay a lump sum of $0.4 million, which Scrubgrass paid in February of 2025. In the second and third years, Scrubgrass shall make 8 payments of $0.1 million on a calendar quarter basis. For a period of five years following the effective date of the Settlement Agreement, Scrubgrass is to provide annual compliance training focused primarily on the applicable tariff and related rules, regulations, and requirements applicable to operating generators, to all personnel whose job responsibilities relate to the generators’ participation in Commission jurisdictional markets. As of June 30, 2025, the settlement accrual was $1.1 million and represents the 8 installment payments.</w:t>
      </w:r>
    </w:p>
    <w:p>
      <w:pPr>
        <w:spacing w:after="0" w:line="200" w:lineRule="exact"/>
        <w:rPr>
          <w:sz w:val="20"/>
          <w:szCs w:val="20"/>
          <w:color w:val="auto"/>
        </w:rPr>
      </w:pPr>
    </w:p>
    <w:p>
      <w:pPr>
        <w:spacing w:after="0" w:line="218"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Lawsuits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Shareholder Securities Lawsuit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14, 2022, Stronghold, and certain of its former directors, officers and underwriters were named in a putative class action complaint filed in the United States District Court for the Southern District of New York (Winter v. Stronghold Digital Mining, Case No. 1:22-cv-3088).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16, 2024, the District Court issued an Order granting Preliminary Approval of the Class Action Settlement, Approving Form and Manner of Notice, and Setting Date for Hearing on Final Approval of Settlement. The Company agreed to pay $4.8 million in cash and 25 BTC. On January 15, 2025, $2.5 million was covered by the Company’s insurance providers and Stronghold paid the remaining $2.3 million into escrow. One BTC will be paid monthly for two years. The cash value of each Bitcoin is expected to be calculated monthly according to a price set by the Nasdaq Bitcoin reference price index. As of June 30, 2025, the settlement accrual was $2.0 million and represents the value of the remaining 19 BTC to be paid.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Class Action Lawsuit</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9, 2025, a purported shareholder filed a putative class action complaint in the United States District Court for the Eastern District of New York, in a case titled Olympio v. Bitfarms Ltd., Benjamin Gagnon, Jeffrey Lucas, and Geoffrey Morphy, case no 1:25-cv-02630, alleging violations of Sections 10(b) and 20(a) of the Securities Exchange Act of 1934 and Rule 10b-5, promulgated thereunder. The lawsuit alleges that the Company, its current CEO, its CFO and its former CEO made materially false and/or misleading statements regarding the Company’s business, operations and internal controls over financial reporting. The Plaintiff seeks class certification, unspecified damages plus interest and attorney and expert witness fees and other costs on behalf of a purported class consisting of all persons and entities (subject to specified exceptions) that purchased or otherwise acquired Company common stock from March 21, 2023 and December 9, 2024. The lawsuit was filed by Pomerantz Law Firm. The Company cannot predict the duration or outcome of this lawsuit at this time. As a result, the Company is unable to estimate the reasonably possible loss or range of reasonably possible loss arising from this lawsuit and no provision was recorded as of June 30, 2025. The Company intends to vigorously defend itself in this matter.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imported Miners into Washington State, United States,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and the first quarter of 2025, the Company submitted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June 30, 2025.</w:t>
      </w:r>
    </w:p>
    <w:p>
      <w:pPr>
        <w:spacing w:after="0" w:line="176"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did not have any material commitments.</w:t>
      </w:r>
    </w:p>
    <w:p>
      <w:pPr>
        <w:spacing w:after="0" w:line="200" w:lineRule="exact"/>
        <w:rPr>
          <w:sz w:val="20"/>
          <w:szCs w:val="20"/>
          <w:color w:val="auto"/>
        </w:rPr>
      </w:pPr>
    </w:p>
    <w:p>
      <w:pPr>
        <w:spacing w:after="0" w:line="255"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46</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POSITION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7"/>
        </w:trPr>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As of</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1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10"/>
        </w:trPr>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278,261</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213,709</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64,552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89,470</w:t>
            </w: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36,270</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53,200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0"/>
        </w:trPr>
        <w:tc>
          <w:tcPr>
            <w:tcW w:w="50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188,791</w:t>
            </w: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177,439</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11,352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the BTC Halving event that occurred on April 19, 2024, the Company continues to place importance on maintaining sufficient liquidity to manage uncertainty and address the inconsistent financing streams associated with debt and equity raises to fund its HPC development activities. The Company also anticipates requiring additional funds to complete its 2025 and 2026 growth plans discussed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of June 30, 2025, Bitfarms had working capital of $188.8 million, compared to $177.4 million as of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working capital was mostly due to:</w:t>
      </w:r>
    </w:p>
    <w:p>
      <w:pPr>
        <w:spacing w:after="0" w:line="27"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$25.9 million increase in cash as explained by the cash flows. Refer to Section 10A - </w:t>
      </w:r>
      <w:r>
        <w:rPr>
          <w:rFonts w:ascii="Times New Roman" w:cs="Times New Roman" w:eastAsia="Times New Roman" w:hAnsi="Times New Roman"/>
          <w:sz w:val="18"/>
          <w:szCs w:val="18"/>
          <w:i w:val="1"/>
          <w:iCs w:val="1"/>
          <w:color w:val="auto"/>
        </w:rPr>
        <w:t>Liquidity and Capital Resources - Cash flows</w:t>
      </w:r>
      <w:r>
        <w:rPr>
          <w:rFonts w:ascii="Times New Roman" w:cs="Times New Roman" w:eastAsia="Times New Roman" w:hAnsi="Times New Roman"/>
          <w:sz w:val="18"/>
          <w:szCs w:val="18"/>
          <w:color w:val="auto"/>
        </w:rPr>
        <w:t xml:space="preserve"> of this MD&amp;A;</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$15.1 million increase in receivable from disposal of Yguazu Mining site as explained in Section 6b - </w:t>
      </w:r>
      <w:r>
        <w:rPr>
          <w:rFonts w:ascii="Times New Roman" w:cs="Times New Roman" w:eastAsia="Times New Roman" w:hAnsi="Times New Roman"/>
          <w:sz w:val="18"/>
          <w:szCs w:val="18"/>
          <w:i w:val="1"/>
          <w:iCs w:val="1"/>
          <w:color w:val="auto"/>
        </w:rPr>
        <w:t>Expansion Projects (Paraguay Expansion)</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 million increase in inventories mainly attributable to the acquisition of Stronghold as explained in Note 5 to the Financial Statements;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$5.8 million increase in digital assets resulting from the increase in the BTC price during YTD Q2 2025, partially offset by the Company’s balance decreasing by 109 BTC;</w:t>
      </w: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$5.6 million increase in rights to energy credits derived from Stronghold’s refuse operations;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decrease in warrant liabilities due to the subsequent decrease in fair value revaluation of the warrants from the 2023 private placements as a result of the decrease in the Company’s share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340" w:right="20" w:hanging="332"/>
        <w:spacing w:after="0" w:line="250"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$23.0 million increase in trade payables and accrued liabilities mainly due to $22.3 million attributable to the acquisition of Stronghold as explained in Note 5 to the Financial Statements;</w:t>
      </w:r>
    </w:p>
    <w:p>
      <w:pPr>
        <w:jc w:val="both"/>
        <w:ind w:left="340" w:hanging="332"/>
        <w:spacing w:after="0" w:line="250"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$18.4 million increase in redemption obligation, which represented the remaining BTC Redemption Options for which Miners have been shipped, reflecting the Company’s obligation to either redeem the BTC Pledged for cash or use the BTC Pledged for the purchase of the Miners. No redemption obligation was recorded as of December 31, 2024, as the Miners ordered, for which a deposit payment in BTC was made, had not yet been shipped;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$6.4 million decrease in short-term prepaid deposits mainly related to the prepayment of electricity to an energy supplier in Argentina during FY 2024.</w:t>
      </w:r>
    </w:p>
    <w:p>
      <w:pPr>
        <w:spacing w:after="0" w:line="200" w:lineRule="exact"/>
        <w:rPr>
          <w:sz w:val="20"/>
          <w:szCs w:val="20"/>
          <w:color w:val="auto"/>
        </w:rPr>
      </w:pPr>
    </w:p>
    <w:p>
      <w:pPr>
        <w:spacing w:after="0" w:line="238"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11. FINANCIAL POSITION </w:t>
            </w:r>
            <w:r>
              <w:rPr>
                <w:rFonts w:ascii="Times New Roman" w:cs="Times New Roman" w:eastAsia="Times New Roman" w:hAnsi="Times New Roman"/>
                <w:sz w:val="18"/>
                <w:szCs w:val="18"/>
                <w:color w:val="auto"/>
              </w:rPr>
              <w:t>(Continued)</w:t>
            </w:r>
          </w:p>
        </w:tc>
        <w:tc>
          <w:tcPr>
            <w:tcW w:w="2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402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2"/>
            <w:vMerge w:val="continue"/>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88,906</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117,615</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(28,709)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2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299,430</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62,854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236,576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388,336</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180,469</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207,867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Paraguay</w:t>
            </w:r>
          </w:p>
        </w:tc>
        <w:tc>
          <w:tcPr>
            <w:tcW w:w="2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67,834</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112,452</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(44,618)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Argentina</w:t>
            </w:r>
          </w:p>
        </w:tc>
        <w:tc>
          <w:tcPr>
            <w:tcW w:w="2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20,916</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55,604</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(34,688)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shd w:val="clear" w:color="auto" w:fill="CCEEFF"/>
          </w:tcPr>
          <w:p>
            <w:pPr>
              <w:spacing w:after="0"/>
              <w:rPr>
                <w:sz w:val="18"/>
                <w:szCs w:val="18"/>
                <w:color w:val="auto"/>
              </w:rPr>
            </w:pPr>
          </w:p>
        </w:tc>
        <w:tc>
          <w:tcPr>
            <w:tcW w:w="446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88,750</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168,056</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(79,306)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477,086</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348,525</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128,561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Bitfarms had PPE of $477.1 million, compared to $348.5 million as of December 31, 2024. The increase of $128.6 million, or 37%, was primarily due to:</w:t>
      </w:r>
    </w:p>
    <w:p>
      <w:pPr>
        <w:jc w:val="both"/>
        <w:ind w:left="660" w:hanging="328"/>
        <w:spacing w:after="0" w:line="255"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$236.6 million increase in United States PPE mainly due to the $156.7 million increase from the acquisition of Stronghold as explained in Note 5 to the Financial Statements as well as ongoing expansion investments in the United States. Refer to section 6b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Expansion)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line="250" w:lineRule="auto"/>
        <w:tabs>
          <w:tab w:leader="none" w:pos="6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$44.6 million decrease in Paraguay PPE primarily due to the sale of the Yguazu Mining Site. Refer to Section 6b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(Paraguay Expansion)</w:t>
      </w:r>
      <w:r>
        <w:rPr>
          <w:rFonts w:ascii="Times New Roman" w:cs="Times New Roman" w:eastAsia="Times New Roman" w:hAnsi="Times New Roman"/>
          <w:sz w:val="18"/>
          <w:szCs w:val="18"/>
          <w:color w:val="auto"/>
        </w:rPr>
        <w:t>; and</w:t>
      </w:r>
    </w:p>
    <w:p>
      <w:pPr>
        <w:ind w:left="660" w:hanging="328"/>
        <w:spacing w:after="0" w:line="260" w:lineRule="auto"/>
        <w:tabs>
          <w:tab w:leader="none" w:pos="6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$28.7 million and $34.7 million decreases in Canada and Argentina PPE, respectively, mainly due to regular depreciation, which exceeded Miners fleet upgrade and the $28.8 million impairment on Argentina PPE. Refer to Note 12 -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to the Financial Statements.</w:t>
      </w:r>
    </w:p>
    <w:p>
      <w:pPr>
        <w:spacing w:after="0" w:line="20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ROU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Bitfarms had ROU assets of $22.7 million, compared to $23.0 million as of December 31, 2024. The decrease of $0.3 million, or 1%, was mainly due to depreciation, partially offset by additions from the acquisition of Stronghold. Refer to Note 5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22 to the Financial Statements and Note 23 to the 2024 Annual Financial Statements. Risks are related to foreign currency, credit, counterparty, liquidity, and concentration.</w:t>
      </w:r>
    </w:p>
    <w:p>
      <w:pPr>
        <w:spacing w:after="0" w:line="200" w:lineRule="exact"/>
        <w:rPr>
          <w:sz w:val="20"/>
          <w:szCs w:val="20"/>
          <w:color w:val="auto"/>
        </w:rPr>
      </w:pPr>
    </w:p>
    <w:p>
      <w:pPr>
        <w:spacing w:after="0" w:line="205"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24 to the 2024 Annual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comparative figures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2024, the Company changed the presentation of the statements of cash flows and determined that the proceeds from sale of digital assets, which are accounted for as an intangible asset under IAS 38, should be classified as investing activities rather than operating activities. The following table reflects the reclassification impact of the comparative six months ended June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interim consolidated statement of cash flows for the six months ended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522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160" w:type="dxa"/>
            <w:vAlign w:val="bottom"/>
          </w:tcPr>
          <w:p>
            <w:pPr>
              <w:jc w:val="right"/>
              <w:ind w:right="910"/>
              <w:spacing w:after="0" w:line="188" w:lineRule="exact"/>
              <w:rPr>
                <w:sz w:val="20"/>
                <w:szCs w:val="20"/>
                <w:color w:val="auto"/>
              </w:rPr>
            </w:pPr>
            <w:r>
              <w:rPr>
                <w:rFonts w:ascii="Times New Roman" w:cs="Times New Roman" w:eastAsia="Times New Roman" w:hAnsi="Times New Roman"/>
                <w:sz w:val="18"/>
                <w:szCs w:val="18"/>
                <w:color w:val="auto"/>
              </w:rPr>
              <w:t>Cash flow</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3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 (as reported)</w:t>
            </w:r>
          </w:p>
        </w:tc>
        <w:tc>
          <w:tcPr>
            <w:tcW w:w="28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reclassification   </w:t>
            </w:r>
            <w:r>
              <w:rPr>
                <w:rFonts w:ascii="Times New Roman" w:cs="Times New Roman" w:eastAsia="Times New Roman" w:hAnsi="Times New Roman"/>
                <w:sz w:val="18"/>
                <w:szCs w:val="18"/>
                <w:b w:val="1"/>
                <w:bCs w:val="1"/>
                <w:color w:val="auto"/>
              </w:rPr>
              <w:t>2024 (as restated)</w:t>
            </w:r>
          </w:p>
        </w:tc>
        <w:tc>
          <w:tcPr>
            <w:tcW w:w="0" w:type="dxa"/>
            <w:vAlign w:val="bottom"/>
          </w:tcPr>
          <w:p>
            <w:pPr>
              <w:spacing w:after="0"/>
              <w:rPr>
                <w:sz w:val="1"/>
                <w:szCs w:val="1"/>
                <w:color w:val="auto"/>
              </w:rPr>
            </w:pPr>
          </w:p>
        </w:tc>
      </w:tr>
      <w:tr>
        <w:trPr>
          <w:trHeight w:val="426"/>
        </w:trPr>
        <w:tc>
          <w:tcPr>
            <w:tcW w:w="5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306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(32,579)</w:t>
            </w:r>
          </w:p>
        </w:tc>
        <w:tc>
          <w:tcPr>
            <w:tcW w:w="21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3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83,326</w:t>
            </w:r>
          </w:p>
        </w:tc>
        <w:tc>
          <w:tcPr>
            <w:tcW w:w="21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(83,326)</w:t>
            </w:r>
          </w:p>
        </w:tc>
        <w:tc>
          <w:tcPr>
            <w:tcW w:w="4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3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27,935</w:t>
            </w:r>
          </w:p>
        </w:tc>
        <w:tc>
          <w:tcPr>
            <w:tcW w:w="21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(83,326)</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3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3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83,326</w:t>
            </w:r>
          </w:p>
        </w:tc>
        <w:tc>
          <w:tcPr>
            <w:tcW w:w="68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3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(151,832)</w:t>
            </w:r>
          </w:p>
        </w:tc>
        <w:tc>
          <w:tcPr>
            <w:tcW w:w="21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83,326</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right w:val="single" w:sz="8" w:color="auto"/>
            </w:tcBorders>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58"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internal control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material weakness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Management identified that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which was reflected in the comparative period for the consolidated financial statements of the Company for the year ended December 31, 2023 filed on December 9, 2024.</w:t>
      </w:r>
    </w:p>
    <w:p>
      <w:pPr>
        <w:spacing w:after="0" w:line="200" w:lineRule="exact"/>
        <w:rPr>
          <w:sz w:val="20"/>
          <w:szCs w:val="20"/>
          <w:color w:val="auto"/>
        </w:rPr>
      </w:pPr>
    </w:p>
    <w:p>
      <w:pPr>
        <w:spacing w:after="0" w:line="209"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quarterly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Identified material weakness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2024, Management also identified a material error in the statements of cash flows, resulting in a reclassification of sales of digital assets from cash flows from operations to cash flows from investing activities. These errors, which impacted the consolidated financial statements for the year ended December 31, 2023 and 2022, were corrected with the filing of Amendment No. 1 to the Annual Report on Form 40-F for fiscal year ended December 31,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concluded that the control over accounting for complex transactions did not operate effectively in these instances, which constitutes a material weakness in ICFR as of December 31, 2024. Management concluded that the Company’s ICFR as of December 31, 2024 was not effective because of the material weakness.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transactions and review of financial statements. Management’s efforts to hire more CPAs and involving the Company’s legal counsel and third-party consultants to assist with complex transactions were in place at the end of 2024, and its remediation plan is expected to be completed after review and testing of controls during 2025.</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2024, dated March 26,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the design implementation of the revised control is complete, the validation and testing of the operating effectiveness of the internal control over a sustained period of financial reporting cycles will be required before it is considered remediated.</w:t>
      </w:r>
    </w:p>
    <w:p>
      <w:pPr>
        <w:spacing w:after="0" w:line="158"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ICFR that have materially affected, or are reasonably likely to materially affect, the Company’s ICFR during the period beginning on April 1, 2025 and ended June 30, 2025.</w:t>
      </w:r>
    </w:p>
    <w:p>
      <w:pPr>
        <w:spacing w:after="0" w:line="158"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they are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200" w:lineRule="exact"/>
        <w:rPr>
          <w:sz w:val="20"/>
          <w:szCs w:val="20"/>
          <w:color w:val="auto"/>
        </w:rPr>
      </w:pPr>
    </w:p>
    <w:p>
      <w:pPr>
        <w:spacing w:after="0" w:line="205"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of DC&amp;P and ICFR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2025, the Company acquired Stronghold in the Stronghold Transaction. The Company is currently in the process of evaluating and integrating Stronghold’s controls over financial reporting, which may result in changes or additions to the Company’s internal control over financial reporting. Under guidelines established by the SEC and in accordance with National Instrument 52-109 Certification of Disclosure in Issuers’ Annual and Interim Filings, companies are permitted to exclude acquisitions from their assessment of internal control over financial reporting during the first year of an acquisition while integrating the acquired company. In the Company’s assessment of the scope of disclosure controls and procedures and internal control over financial reporting, the Company has excluded the controls, policies and procedures of Stronghold from the assessment of internal control over financial reporting at June 30, 2025. The Company will continue to evaluate the effectiveness of internal controls over financial reporting as the Company completes the integration of Stronghold.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March 15, 2025 (the first day following the acquisition) to June 30, 2025, Stronghold generated revenue of $27.5 million and net loss of $2.2 million. As of June 30, 2025, Stronghold’s current assets and current liabilities represented approximately 13.6% and 27.0% of the Company’s consolidated current assets and current liabilities,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AND SUBSEQUENT EVENTS</w:t>
      </w:r>
    </w:p>
    <w:p>
      <w:pPr>
        <w:spacing w:after="0" w:line="225"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Bitmain T21 and S21+ Miners Swap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2025, an exchange agreement was signed to return 10,467 Bitmain T21 Miners. In consideration for the returned Miners, Bitmain will refund the Company with a credit for $23.9 million. Simultaneously, the Company placed another purchase order for 8,585 Bitmain S21+ Miners at a purchase price of $29.9 million to be paid in cash or in BTC. The payment terms, the BTC installments and the BTC Redemption Option are similar to the ones described in Note 9 to the Financial Statements. In July, 2025, the Company paid the net balance of $6.0 million in BTC which can be redeemed on a quarterly basis.</w:t>
      </w:r>
    </w:p>
    <w:p>
      <w:pPr>
        <w:spacing w:after="0" w:line="185"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options of BTC</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July 2025, the Company exercised its option to redeem the third installment of the BTC Pledged in relation to the purchase of Miners under the November 2024 purchase order. The Company redeemed 87 BTC for $8.3 million. Refer to Note 8 to the Financial Statements for more details.</w:t>
      </w:r>
    </w:p>
    <w:p>
      <w:pPr>
        <w:spacing w:after="0" w:line="200" w:lineRule="exact"/>
        <w:rPr>
          <w:sz w:val="20"/>
          <w:szCs w:val="20"/>
          <w:color w:val="auto"/>
        </w:rPr>
      </w:pPr>
    </w:p>
    <w:p>
      <w:pPr>
        <w:spacing w:after="0" w:line="21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RECENT AND SUBSEQUENT EVENTS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Share Buyback Program</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July 22, 2025, the Company announced that the TSX had approved a normal course issuer bid (“NCIB”), under which the Company may repurchase up to 49,943,031 of its common shares, representing approximately 10% of the Company’s public float as of July 14, 2025.</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Purchases under the NCIB may commence on July 28, 2025, and will terminate no later than July 27, 2026. All common shares purchased on the TSX or Nasdaq under the NCIB will be cancelled. The Company has entered into an automatic repurchase arrangement with a designated broker to facilitate repurchases under the NCIB, including during pre-determined blackout periods. The timing and number of shares repurchased will be determined by Management based on market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July 28, 2025 to August 11, 2025, the Company repurchased 4,949,244 common shares for cancellation through the Corporate Share Buyback Program in exchange for $6.1 million at an average share price of approximately $1.24 USD and paid $0.1 million of commissions to the purchasing agent.</w:t>
      </w:r>
    </w:p>
    <w:p>
      <w:pPr>
        <w:spacing w:after="0" w:line="172"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to Purchase Land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2025, the Company entered into an agreement to purchase 3 acres of land in Washington State, United States for $1.9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8, 2025, the Company entered into an agreement to purchase 181 acres of land in Pennsylvania, United States for $3.5 million.</w:t>
      </w:r>
    </w:p>
    <w:p>
      <w:pPr>
        <w:spacing w:after="0" w:line="221"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Argentina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8, 2025, the Company entered into an agreement with GMSA to have its energy deposit of $3.5 million repaid to the Company over 18 months beginning in January 2026, bearing interest at 5% per annum. GMSA agreed to eliminate the Company's estimated asset retirement obligation for the leased property of $2.8 million as of June 30, 2025. The Company amended its $10,000 per month lease for the property so that the Company pays for the pro-rata portion of land it uses going forward, if any, and extended the lease term to January 2035.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11, 2025, the Company determined that it would discontinue its operations at its Bitcoin data center in Rio Cuarto, Argentina by November 11, 2025 due to the halting of energy supply since May 12, 2025 and future economic uncertainty in the region.</w:t>
      </w:r>
    </w:p>
    <w:p>
      <w:pPr>
        <w:spacing w:after="0" w:line="39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MD&amp;A, the Company has 552,599,613 common shares outstanding, 23,760,723 vested and 5,459,670 unvested stock options, 16,172,428 warrants outstanding, 4,974,631 restricted stock units and 4,451,072 performance stock units. There are no preferred shares or any other classes of shares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CEO.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 total of eight data centers with an aggregate energized power capacity of 170 MW located in the Province of Quebec,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Section 7 - </w:t>
      </w:r>
      <w:r>
        <w:rPr>
          <w:rFonts w:ascii="Times New Roman" w:cs="Times New Roman" w:eastAsia="Times New Roman" w:hAnsi="Times New Roman"/>
          <w:sz w:val="18"/>
          <w:szCs w:val="18"/>
          <w:i w:val="1"/>
          <w:iCs w:val="1"/>
          <w:color w:val="auto"/>
        </w:rPr>
        <w:t>Expansion Projects - C. Canada Expansion</w:t>
      </w:r>
      <w:r>
        <w:rPr>
          <w:rFonts w:ascii="Times New Roman" w:cs="Times New Roman" w:eastAsia="Times New Roman" w:hAnsi="Times New Roman"/>
          <w:sz w:val="18"/>
          <w:szCs w:val="18"/>
          <w:color w:val="auto"/>
        </w:rPr>
        <w:t xml:space="preserve"> of this MD&amp;A.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Quebec or Canada on the business of operating a data center or conducting the business of the Company as described herein, and as of the date of this MD&amp;A, the Company has not received any material notices or statements from regulatory authorities in Quebec or Canada that would negatively impact its current operations in Quebec or Canada. The Company is not relying on any registrations, exemptions, or “no action” letters to conduct its business in Quebec or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four data centers with an aggregate energized power capacity of 171 MW located in the State of Washington and in Pennsylvania, United States. Energy for two of the four data centers is derived from the Company’s power facilities and/or the grid. Refer to Section 7 - </w:t>
      </w:r>
      <w:r>
        <w:rPr>
          <w:rFonts w:ascii="Times New Roman" w:cs="Times New Roman" w:eastAsia="Times New Roman" w:hAnsi="Times New Roman"/>
          <w:sz w:val="18"/>
          <w:szCs w:val="18"/>
          <w:i w:val="1"/>
          <w:iCs w:val="1"/>
          <w:color w:val="auto"/>
        </w:rPr>
        <w:t>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Projects (A. United States Expansion) </w:t>
      </w:r>
      <w:r>
        <w:rPr>
          <w:rFonts w:ascii="Times New Roman" w:cs="Times New Roman" w:eastAsia="Times New Roman" w:hAnsi="Times New Roman"/>
          <w:sz w:val="18"/>
          <w:szCs w:val="18"/>
          <w:color w:val="auto"/>
        </w:rPr>
        <w:t>of this MD&amp;A.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the State of Washington and in Pennsylvania on the business of operating a data center or conducting the business of the Company as described herein, and as of the date of this MD&amp;A, the Company has not received any material notices or statements from regulatory authorities in the State of Washington or in Pennsylvania that would negatively impact its operations in these jurisdictions. The Company is not relying on any registrations, exemptions, or “no action” letters to conduct its business in Washington and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operates a total of two data centers with an aggregate energized power capacity of 80 MW located in the city of Villarrica, Paraguay. Refer to Section 6 - </w:t>
      </w:r>
      <w:r>
        <w:rPr>
          <w:rFonts w:ascii="Times New Roman" w:cs="Times New Roman" w:eastAsia="Times New Roman" w:hAnsi="Times New Roman"/>
          <w:sz w:val="18"/>
          <w:szCs w:val="18"/>
          <w:i w:val="1"/>
          <w:iCs w:val="1"/>
          <w:color w:val="auto"/>
        </w:rPr>
        <w:t>Expansion Projects - B. Paraguay Expansion</w:t>
      </w:r>
      <w:r>
        <w:rPr>
          <w:rFonts w:ascii="Times New Roman" w:cs="Times New Roman" w:eastAsia="Times New Roman" w:hAnsi="Times New Roman"/>
          <w:sz w:val="18"/>
          <w:szCs w:val="18"/>
          <w:color w:val="auto"/>
        </w:rPr>
        <w:t xml:space="preserve"> of this MD&amp;A.</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data center or conducting the business of the Company as described herein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200" w:lineRule="exact"/>
        <w:rPr>
          <w:sz w:val="20"/>
          <w:szCs w:val="20"/>
          <w:color w:val="auto"/>
        </w:rPr>
      </w:pPr>
    </w:p>
    <w:p>
      <w:pPr>
        <w:spacing w:after="0" w:line="209"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REGULATORY COMPLIANCE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30, 2025, the Company was informed that Generacion Mediterranea S.A (“GMSA”), a subsidiary of Grupo Albanesi, appointed local and international financial advisors to conduct a process with their creditors regarding the restructuring of all its financial debt. As a result, the Company’s operations in Rio Cuarto have been suspended due to a halt in the Rio Cuarto operations’ supply of electrical power since May 12,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the process of shutting down its 58 MW data center and anticipates to complete the shutdown by November 11,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and is affected by several factors that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risks and uncertainties that Management considers as the most material to the Company’s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MD&amp;A for the year ended December 31, 2024, dated March 26, 2025 and Section 18 - </w:t>
      </w:r>
      <w:r>
        <w:rPr>
          <w:rFonts w:ascii="Times New Roman" w:cs="Times New Roman" w:eastAsia="Times New Roman" w:hAnsi="Times New Roman"/>
          <w:sz w:val="18"/>
          <w:szCs w:val="18"/>
          <w:i w:val="1"/>
          <w:iCs w:val="1"/>
          <w:color w:val="auto"/>
        </w:rPr>
        <w:t>Risk Factor</w:t>
      </w:r>
      <w:r>
        <w:rPr>
          <w:rFonts w:ascii="Times New Roman" w:cs="Times New Roman" w:eastAsia="Times New Roman" w:hAnsi="Times New Roman"/>
          <w:sz w:val="18"/>
          <w:szCs w:val="18"/>
          <w:color w:val="auto"/>
        </w:rPr>
        <w:t xml:space="preserve"> in the 2024 AIF. These risks and uncertainties have not materially changed during the six months ended June 30, 2025, other than the risks as described below, and are hereby incorporated by reference.</w:t>
      </w:r>
    </w:p>
    <w:p>
      <w:pPr>
        <w:spacing w:after="0" w:line="17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currently subject to securities class action litigation and may be subject to similar or other litigation in the future, which may divert management’s attention.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9, 2025, a purported shareholder filed a putative class action complaint in the United States District Court for the Eastern District of New York, in a case titled Olympio v. Bitfarms Ltd., Benjamin Gagnon, Jeffrey Lucas, and Geoff Morphy, case no 1:25-cv-02630, alleging violations of Sections 10(b) and 20(a) of the Securities Exchange Act of 1934 and Rule 10b-5, promulgated thereunder. The lawsuit alleges that the Company, its current Chief Executive Officer, its Chief Financial Officer and its former Chief Executive Officer made materially false and/or misleading statements regarding the Company’s business, operations and internal controls over financial reporting (refer to Section 10D - Capital Resources (Lawsuits)).</w:t>
      </w:r>
    </w:p>
    <w:p>
      <w:pPr>
        <w:spacing w:after="0" w:line="200" w:lineRule="exact"/>
        <w:rPr>
          <w:sz w:val="20"/>
          <w:szCs w:val="20"/>
          <w:color w:val="auto"/>
        </w:rPr>
      </w:pPr>
    </w:p>
    <w:p>
      <w:pPr>
        <w:spacing w:after="0" w:line="213" w:lineRule="exact"/>
        <w:rPr>
          <w:sz w:val="20"/>
          <w:szCs w:val="20"/>
          <w:color w:val="auto"/>
        </w:rPr>
      </w:pPr>
    </w:p>
    <w:p>
      <w:pPr>
        <w:ind w:left="10360"/>
        <w:spacing w:after="0"/>
        <w:tabs>
          <w:tab w:leader="none" w:pos="10880" w:val="left"/>
        </w:tabs>
        <w:rPr>
          <w:sz w:val="20"/>
          <w:szCs w:val="20"/>
          <w:color w:val="auto"/>
        </w:rPr>
      </w:pPr>
      <w:r>
        <w:rPr>
          <w:rFonts w:ascii="Times New Roman" w:cs="Times New Roman" w:eastAsia="Times New Roman" w:hAnsi="Times New Roman"/>
          <w:sz w:val="17"/>
          <w:szCs w:val="17"/>
          <w:color w:val="auto"/>
        </w:rPr>
        <w:t>55</w:t>
      </w:r>
      <w:r>
        <w:rPr>
          <w:sz w:val="20"/>
          <w:szCs w:val="20"/>
          <w:color w:val="auto"/>
        </w:rPr>
        <w:tab/>
      </w: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Company is currently subject to securities class action litigation and may be subject to similar or other litigation in the future, which may divert management’s attention. </w:t>
      </w:r>
      <w:r>
        <w:rPr>
          <w:rFonts w:ascii="Times New Roman" w:cs="Times New Roman" w:eastAsia="Times New Roman" w:hAnsi="Times New Roman"/>
          <w:sz w:val="18"/>
          <w:szCs w:val="18"/>
          <w:color w:val="auto"/>
        </w:rPr>
        <w:t>(Continued)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may be additional suits or proceedings brought in the future. Monitoring and defending against legal actions, whether or not meritorious, is time-consuming for the Company’s Management and detracts from the Company’s ability to fully focus its internal resources on its business activities, and the Company cannot predict how long it may take to resolve these matters. In addition, the Company may incur substantial legal fees and costs in connection with litigation. The Company is not currently able to estimate the possible cost to it from these lawsuits, and the Company cannot be certain how long it may take to resolve these lawsuits or the possible amount of any damages that the Company may be required to pay. The Company has not at this time established any reserves for any potential liability relating to these lawsuits. It is possible that the Company could, in the future, incur judgment or enter into settlement of claims for monetary damages. A decision adverse to the Company’s interests in this lawsuit could result in the payment of substantial damages and could have a material adverse effect on the Company’s business, results of operations and financial condition. In addition, the uncertainty of the currently pending lawsuit could lead to volatility in the price of the Company’s common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operations in Rio Cuarto were suspended due to a halt in its supply of electrical power on May 12,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data center in Rio Cuarto receives electricity pursuant to a power contract with Generacion Mediterranea S.A (“GMSA”), a subsidiary of Grupo Albanesi. Grupo Albanesi is an Argentine private corporate group focused on the energy market, which provides natural gas and electrical energy to its clients from its multiple data centers.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on April 30, 2025, the Company was informed that GMSA appointed local and international financial advisors to conduct a process with their creditors regarding the restructuring of all its financial debt but that the supply of electricity would continue uninterrupted. On May 12, 2025, the Company was informed by GMSA that it will be halting until further notice the supply of electricity to the Company’s Rio Cuarto facility. As of August 11, 2025, GMSA is currently negotiating with its commercial suppliers and the Company does not have visibility of the timing for when normal supply of electricity will resume, or whether it will resume at all, and what fees will be charged on electricity use should supply resume. The Company has evaluated options and has decided to discontinue operations at Rio Cuarto. As a result the Company’s operational Hashrate and the free cashflow its mining operations generate has decreased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judgments, estimates and assumptions are summarized in Note 3 to the 2024 Annual Financial Statements and Note 4 to the Financial Statements.</w:t>
      </w:r>
    </w:p>
    <w:p>
      <w:pPr>
        <w:spacing w:after="0" w:line="39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MATERIAL ACCOUNTING POLICY INFORMATION AND NEW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to the 2024 Annual Financial Statements and Note 3 to the Financial Statements for more information regarding the Company’s material accounting policy information and new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Bitcoin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the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customers for the Company’s hosting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experience of Company’s management in AI/HPC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00" w:lineRule="exact"/>
        <w:rPr>
          <w:sz w:val="20"/>
          <w:szCs w:val="20"/>
          <w:color w:val="auto"/>
        </w:rPr>
      </w:pPr>
    </w:p>
    <w:p>
      <w:pPr>
        <w:spacing w:after="0" w:line="236"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80" w:hanging="272"/>
        <w:spacing w:after="0"/>
        <w:tabs>
          <w:tab w:leader="none" w:pos="2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suspension of operations at the Rio Cuarto Site and the disposition of the Rio Cuarto Site;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import tariffs and duties;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unsolicited take-over bids;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success and profitability of the Company’s carbon capture program and related environmental tax credits;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revenues, profits and margins of the Company may not remain consistent with historical levels, thereby impacting its ability to make purchases under the Company’s share buyback program;</w:t>
      </w: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the NCIB;</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suspension of the Company’s operations at its Rio Cuarto site; or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 successfully and risks of not achieving all or any of the anticipated benefits and synergies of the Stronghold Transaction, or the risk that the anticipated benefits and synergies of the Stronghold Transaction may not be fully realized or take longer to realize than expected.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200" w:lineRule="exact"/>
        <w:rPr>
          <w:sz w:val="20"/>
          <w:szCs w:val="20"/>
          <w:color w:val="auto"/>
        </w:rPr>
      </w:pPr>
    </w:p>
    <w:p>
      <w:pPr>
        <w:spacing w:after="0" w:line="217"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CAUTIONARY NOTE REGARDING NON-IFRS AND OTHER FINANCIAL MEASURES AND RATIOS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MD&amp;A makes reference to certain measures that are not recognized under IFRS Accounting Standards and do not have a standardized meaning prescribed by IFRS Accounting Standards.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MD&amp;A for more details.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are available through the internet on SEDAR+ at www.sedarplus.ca and on EDGAR at www.sec.gov/edgar.</w:t>
      </w:r>
    </w:p>
    <w:p>
      <w:pPr>
        <w:spacing w:after="0" w:line="391" w:lineRule="exact"/>
        <w:rPr>
          <w:sz w:val="20"/>
          <w:szCs w:val="20"/>
          <w:color w:val="auto"/>
        </w:rPr>
      </w:pPr>
    </w:p>
    <w:p>
      <w:pPr>
        <w:jc w:val="both"/>
        <w:ind w:left="10360"/>
        <w:spacing w:after="0"/>
        <w:tabs>
          <w:tab w:leader="none" w:pos="1088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GLOSSARY OF TERMS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64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Artificial Intelligence (AI)</w:t>
            </w:r>
          </w:p>
        </w:tc>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branch of technology enabling computers and machines to replicate human-like abilities, including learning,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understanding, problem-solving, decision-making, creativity, and autonomous action.</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ASIC</w:t>
            </w:r>
          </w:p>
        </w:tc>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 solve the SHA-256 algorithm.</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 (BTC)</w:t>
            </w:r>
          </w:p>
        </w:tc>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financial institution or regulatory organization) that can be sent from user to user on the Bitcoin network without the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need for intermediaries to clear transactions. Transactions are verified through the process of Mining and recorded 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 public ledger known as the Blockchain. BTC is created when the Bitcoin network issues Block Rewards through</w:t>
            </w: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the Mining process.</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 One</w:t>
            </w:r>
          </w:p>
        </w:tc>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Bitcoin One is a quantitative investment multi-strategy program that employs a disciplined approach to accelerate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BTC accumulation through diversification, strategic leverage, and market timing.</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Block Reward</w:t>
            </w:r>
          </w:p>
        </w:tc>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cryptocurrency Miners for each block they successfully mine. The current block reward is 3.125 BTC per block.</w:t>
            </w:r>
          </w:p>
        </w:tc>
        <w:tc>
          <w:tcPr>
            <w:tcW w:w="0" w:type="dxa"/>
            <w:vAlign w:val="bottom"/>
          </w:tcPr>
          <w:p>
            <w:pPr>
              <w:spacing w:after="0"/>
              <w:rPr>
                <w:sz w:val="1"/>
                <w:szCs w:val="1"/>
                <w:color w:val="auto"/>
              </w:rPr>
            </w:pPr>
          </w:p>
        </w:tc>
      </w:tr>
      <w:tr>
        <w:trPr>
          <w:trHeight w:val="211"/>
        </w:trPr>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Blockchain</w:t>
            </w:r>
          </w:p>
        </w:tc>
        <w:tc>
          <w:tcPr>
            <w:tcW w:w="86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Blockchain grows as new sets of data, or ‘blocks’, are added to it through Mining. Each block contains a timestamp</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and a link to the previous block, such that the series of blocks form a continuous chain. Given that each block has a</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separate hash and each hash requires information from the previous block, altering information an established block</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would require recalculating all the hashes on the Blockchain which would require an enormous and impracticable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amount of computing power. As a result, once a block is added to the Blockchain it is very difficult to edit and</w:t>
            </w: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impossible to delete.</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Exahash or EH/s</w:t>
            </w: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One quintillion (1,000,000,000,000,000,000) hashes or one million Terahash per second.</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Gigawatt or GW</w:t>
            </w:r>
          </w:p>
        </w:tc>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gigawatt is 1,000 megawatts of electricity and, in the industry of cryptocurrency Mining, can be a reference to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number of gigawatts of electricity per hour that is available for use.</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w:t>
            </w:r>
          </w:p>
        </w:tc>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which outputs are often referred to as hashes. A hash is created using an algorithm. The algorithm used in the</w:t>
            </w: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validation of Bitcoin transactions is the SHA-256 algorithm.</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Mining cryptocurrency.</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Hashrate Under Management</w:t>
            </w: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Hashrate from the Miners the Company owns and from Miners hosted and managed by the Company.</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High Performance Computing</w:t>
            </w:r>
          </w:p>
        </w:tc>
        <w:tc>
          <w:tcPr>
            <w:tcW w:w="8660" w:type="dxa"/>
            <w:vAlign w:val="bottom"/>
            <w:gridSpan w:val="2"/>
          </w:tcPr>
          <w:p>
            <w:pPr>
              <w:ind w:left="240"/>
              <w:spacing w:after="0" w:line="203" w:lineRule="exact"/>
              <w:rPr>
                <w:sz w:val="20"/>
                <w:szCs w:val="20"/>
                <w:color w:val="auto"/>
              </w:rPr>
            </w:pPr>
            <w:r>
              <w:rPr>
                <w:rFonts w:ascii="Times New Roman" w:cs="Times New Roman" w:eastAsia="Times New Roman" w:hAnsi="Times New Roman"/>
                <w:sz w:val="18"/>
                <w:szCs w:val="18"/>
                <w:color w:val="auto"/>
              </w:rPr>
              <w:t>Advanced computing capability that allows for rapid data processing and complex calculations at exceptionally high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(HPC)</w:t>
            </w: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speeds, essential for handling large datasets and complex computational tasks.</w:t>
            </w: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service in which a company provides infrastructure, power, and cooling solutions to house and operate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cryptocurrency mining equipment owned by clients.</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58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8020" w:type="dxa"/>
            <w:vAlign w:val="bottom"/>
            <w:tcBorders>
              <w:right w:val="single" w:sz="8" w:color="auto"/>
            </w:tcBorders>
          </w:tcPr>
          <w:p>
            <w:pPr>
              <w:ind w:left="7780"/>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GLOSSARY OF TERMS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4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64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Megawatt or MW</w:t>
            </w:r>
          </w:p>
        </w:tc>
        <w:tc>
          <w:tcPr>
            <w:tcW w:w="9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9"/>
              </w:rPr>
              <w:t>A megawatt is 1,000 kilowatts of electricity and, in the industry of cryptocurrency Mining, is typically a reference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the number of megawatts of electricity per hour that is available for use.</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ASICs used by the Company and third parties to perform Mining.</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9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perform mathematical calculations to confirm transactions and increase security for the BTC Blockchain. As a</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reward for their services, Bitcoin Miners collect transaction fees for the transactions they confirm, along with newly</w:t>
            </w: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created BTC as Block Rewards.</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 Pool</w:t>
            </w:r>
          </w:p>
        </w:tc>
        <w:tc>
          <w:tcPr>
            <w:tcW w:w="9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increase the probability of finding a block on the BTC Blockchain. Mining Pools administer regular payouts to</w:t>
            </w: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mitigate the risk of Miners operating for a prolonged period of time without finding a block.</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Network Difficulty</w:t>
            </w:r>
          </w:p>
        </w:tc>
        <w:tc>
          <w:tcPr>
            <w:tcW w:w="9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network protocol automatically adjusts Network Difficulty by changing the target every 2,016 blocks hashed based</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w w:val="99"/>
              </w:rPr>
              <w:t>on the time it took for the total computing power used in Bitcoin Mining to solve the previous 2,016 blocks such that</w:t>
            </w: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the average time to solve each block is ten minutes.</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Network Hashrate</w:t>
            </w:r>
          </w:p>
        </w:tc>
        <w:tc>
          <w:tcPr>
            <w:tcW w:w="9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cryptocurrency.</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Petahash or PH/s</w:t>
            </w: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One quadrillion (1,000,000,000,000,000) hashes or one thousand Terahash per second.</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SHA-256</w:t>
            </w:r>
          </w:p>
        </w:tc>
        <w:tc>
          <w:tcPr>
            <w:tcW w:w="9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and is the cryptographic hash function used within the Bitcoin network to validate transactions on the Bitcoin</w:t>
            </w: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Blockchain.</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Synthetic HODL</w:t>
            </w:r>
          </w:p>
        </w:tc>
        <w:tc>
          <w:tcPr>
            <w:tcW w:w="9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Synthetic HODL is the Company’s use of financial instruments to generate BTC exposure with inherent risk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management, capital efficiency and leverage characteristics. The initiative was succeeded by the Bitcoin One</w:t>
            </w: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program.</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Terahash or TH/s</w:t>
            </w:r>
          </w:p>
        </w:tc>
        <w:tc>
          <w:tcPr>
            <w:tcW w:w="8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One trillion (1,000,000,000,000) hashes or one Terahash per second.</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214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8460" w:type="dxa"/>
            <w:vAlign w:val="bottom"/>
            <w:tcBorders>
              <w:right w:val="single" w:sz="8" w:color="auto"/>
            </w:tcBorders>
          </w:tcPr>
          <w:p>
            <w:pPr>
              <w:ind w:left="8220"/>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 Gagnon, Chief Executive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June 30,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April 1, 2025 and ended on June 30, 2025 that has materially affected, or is reasonably likely to materially affect, the issuer’s ICFR.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color w:val="auto"/>
        </w:rPr>
        <w:t>Exhibit 99.4</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Chief Financial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June 30,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current plans, if any, or any actions already undertaken, for remediating the material weakness.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i w:val="1"/>
          <w:iCs w:val="1"/>
          <w:color w:val="auto"/>
        </w:rPr>
        <w:t>Limitation on scope of design:</w:t>
      </w:r>
      <w:r>
        <w:rPr>
          <w:rFonts w:ascii="Times New Roman" w:cs="Times New Roman" w:eastAsia="Times New Roman" w:hAnsi="Times New Roman"/>
          <w:sz w:val="20"/>
          <w:szCs w:val="20"/>
          <w:color w:val="auto"/>
        </w:rPr>
        <w:t xml:space="preserve"> N/A</w:t>
      </w:r>
    </w:p>
    <w:p>
      <w:pPr>
        <w:spacing w:after="0" w:line="220" w:lineRule="exact"/>
        <w:rPr>
          <w:sz w:val="20"/>
          <w:szCs w:val="20"/>
          <w:color w:val="auto"/>
        </w:rPr>
      </w:pPr>
    </w:p>
    <w:p>
      <w:pPr>
        <w:ind w:left="660" w:hanging="328"/>
        <w:spacing w:after="0" w:line="28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April 1, 2025 and ended on June 30, 2025 that has materially affected, or is reasonably likely to materially affect, the issuer’s ICFR.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lowerLetter"/>
      <w:start w:val="1"/>
    </w:lvl>
  </w:abstractNum>
  <w:abstractNum w:abstractNumId="1">
    <w:nsid w:val="5DB70AE5"/>
    <w:multiLevelType w:val="hybridMultilevel"/>
    <w:lvl w:ilvl="0">
      <w:lvlJc w:val="left"/>
      <w:lvlText w:val="%1."/>
      <w:numFmt w:val="lowerLetter"/>
      <w:start w:val="2"/>
    </w:lvl>
  </w:abstractNum>
  <w:abstractNum w:abstractNumId="2">
    <w:nsid w:val="100F8FCA"/>
    <w:multiLevelType w:val="hybridMultilevel"/>
    <w:lvl w:ilvl="0">
      <w:lvlJc w:val="left"/>
      <w:lvlText w:val="%1."/>
      <w:numFmt w:val="lowerLetter"/>
      <w:start w:val="2"/>
    </w:lvl>
  </w:abstractNum>
  <w:abstractNum w:abstractNumId="3">
    <w:nsid w:val="6590700B"/>
    <w:multiLevelType w:val="hybridMultilevel"/>
    <w:lvl w:ilvl="0">
      <w:lvlJc w:val="left"/>
      <w:lvlText w:val="%1."/>
      <w:numFmt w:val="lowerLetter"/>
      <w:start w:val="2"/>
    </w:lvl>
  </w:abstractNum>
  <w:abstractNum w:abstractNumId="4">
    <w:nsid w:val="15014ACB"/>
    <w:multiLevelType w:val="hybridMultilevel"/>
    <w:lvl w:ilvl="0">
      <w:lvlJc w:val="left"/>
      <w:lvlText w:val="%1."/>
      <w:numFmt w:val="lowerLetter"/>
      <w:start w:val="2"/>
    </w:lvl>
  </w:abstractNum>
  <w:abstractNum w:abstractNumId="5">
    <w:nsid w:val="5F5E7FD0"/>
    <w:multiLevelType w:val="hybridMultilevel"/>
    <w:lvl w:ilvl="0">
      <w:lvlJc w:val="left"/>
      <w:lvlText w:val="%1."/>
      <w:numFmt w:val="lowerLetter"/>
      <w:start w:val="3"/>
    </w:lvl>
  </w:abstractNum>
  <w:abstractNum w:abstractNumId="6">
    <w:nsid w:val="98A3148"/>
    <w:multiLevelType w:val="hybridMultilevel"/>
    <w:lvl w:ilvl="0">
      <w:lvlJc w:val="left"/>
      <w:lvlText w:val="%1."/>
      <w:numFmt w:val="lowerLetter"/>
      <w:start w:val="4"/>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1."/>
      <w:numFmt w:val="lowerLetter"/>
      <w:start w:val="5"/>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1."/>
      <w:numFmt w:val="lowerRoman"/>
    </w:lvl>
    <w:lvl w:ilvl="1">
      <w:lvlJc w:val="left"/>
      <w:lvlText w:val="*"/>
      <w:numFmt w:val="bullet"/>
      <w:start w:val="1"/>
    </w:lvl>
  </w:abstractNum>
  <w:abstractNum w:abstractNumId="18">
    <w:nsid w:val="BF72B14"/>
    <w:multiLevelType w:val="hybridMultilevel"/>
    <w:lvl w:ilvl="0">
      <w:lvlJc w:val="left"/>
      <w:lvlText w:val="%1."/>
      <w:numFmt w:val="lowerRoman"/>
      <w:start w:val="2"/>
    </w:lvl>
  </w:abstractNum>
  <w:abstractNum w:abstractNumId="19">
    <w:nsid w:val="11447B73"/>
    <w:multiLevelType w:val="hybridMultilevel"/>
    <w:lvl w:ilvl="0">
      <w:lvlJc w:val="left"/>
      <w:lvlText w:val="%1."/>
      <w:numFmt w:val="lowerRoman"/>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1."/>
      <w:numFmt w:val="lowerRoman"/>
      <w:start w:val="1"/>
    </w:lvl>
  </w:abstractNum>
  <w:abstractNum w:abstractNumId="22">
    <w:nsid w:val="8F2B15E"/>
    <w:multiLevelType w:val="hybridMultilevel"/>
    <w:lvl w:ilvl="0">
      <w:lvlJc w:val="left"/>
      <w:lvlText w:val="%1."/>
      <w:numFmt w:val="lowerLetter"/>
      <w:start w:val="1"/>
    </w:lvl>
  </w:abstractNum>
  <w:abstractNum w:abstractNumId="23">
    <w:nsid w:val="1A32234B"/>
    <w:multiLevelType w:val="hybridMultilevel"/>
    <w:lvl w:ilvl="0">
      <w:lvlJc w:val="left"/>
      <w:lvlText w:val="%1."/>
      <w:numFmt w:val="lowerLetter"/>
      <w:start w:val="1"/>
    </w:lvl>
  </w:abstractNum>
  <w:abstractNum w:abstractNumId="24">
    <w:nsid w:val="3B0FD379"/>
    <w:multiLevelType w:val="hybridMultilevel"/>
    <w:lvl w:ilvl="0">
      <w:lvlJc w:val="left"/>
      <w:lvlText w:val="%1."/>
      <w:numFmt w:val="lowerRoman"/>
      <w:start w:val="1"/>
    </w:lvl>
  </w:abstractNum>
  <w:abstractNum w:abstractNumId="25">
    <w:nsid w:val="68EB2F63"/>
    <w:multiLevelType w:val="hybridMultilevel"/>
    <w:lvl w:ilvl="0">
      <w:lvlJc w:val="left"/>
      <w:lvlText w:val="%1."/>
      <w:numFmt w:val="lowerLetter"/>
      <w:start w:val="1"/>
    </w:lvl>
  </w:abstractNum>
  <w:abstractNum w:abstractNumId="26">
    <w:nsid w:val="4962813B"/>
    <w:multiLevelType w:val="hybridMultilevel"/>
    <w:lvl w:ilvl="0">
      <w:lvlJc w:val="left"/>
      <w:lvlText w:val="%1."/>
      <w:numFmt w:val="lowerRoman"/>
      <w:start w:val="1"/>
    </w:lvl>
  </w:abstractNum>
  <w:abstractNum w:abstractNumId="27">
    <w:nsid w:val="60B6DF70"/>
    <w:multiLevelType w:val="hybridMultilevel"/>
    <w:lvl w:ilvl="0">
      <w:lvlJc w:val="left"/>
      <w:lvlText w:val="%1."/>
      <w:numFmt w:val="lowerLetter"/>
      <w:start w:val="1"/>
    </w:lvl>
  </w:abstractNum>
  <w:abstractNum w:abstractNumId="28">
    <w:nsid w:val="6A5EE64"/>
    <w:multiLevelType w:val="hybridMultilevel"/>
    <w:lvl w:ilvl="0">
      <w:lvlJc w:val="left"/>
      <w:lvlText w:val="%1."/>
      <w:numFmt w:val="lowerLetter"/>
      <w:start w:val="2"/>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1"/>
      <w:numFmt w:val="bullet"/>
      <w:start w:val="1"/>
    </w:lvl>
  </w:abstractNum>
  <w:abstractNum w:abstractNumId="31">
    <w:nsid w:val="1A27709E"/>
    <w:multiLevelType w:val="hybridMultilevel"/>
    <w:lvl w:ilvl="0">
      <w:lvlJc w:val="left"/>
      <w:lvlText w:val="2"/>
      <w:numFmt w:val="bullet"/>
      <w:start w:val="1"/>
    </w:lvl>
  </w:abstractNum>
  <w:abstractNum w:abstractNumId="32">
    <w:nsid w:val="71EA1109"/>
    <w:multiLevelType w:val="hybridMultilevel"/>
    <w:lvl w:ilvl="0">
      <w:lvlJc w:val="left"/>
      <w:lvlText w:val="3"/>
      <w:numFmt w:val="bullet"/>
      <w:start w:val="1"/>
    </w:lvl>
  </w:abstractNum>
  <w:abstractNum w:abstractNumId="33">
    <w:nsid w:val="100F59DC"/>
    <w:multiLevelType w:val="hybridMultilevel"/>
    <w:lvl w:ilvl="0">
      <w:lvlJc w:val="left"/>
      <w:lvlText w:val="4"/>
      <w:numFmt w:val="bullet"/>
      <w:start w:val="1"/>
    </w:lvl>
  </w:abstractNum>
  <w:abstractNum w:abstractNumId="34">
    <w:nsid w:val="7FB7E0AA"/>
    <w:multiLevelType w:val="hybridMultilevel"/>
    <w:lvl w:ilvl="0">
      <w:lvlJc w:val="left"/>
      <w:lvlText w:val="1"/>
      <w:numFmt w:val="bullet"/>
      <w:start w:val="1"/>
    </w:lvl>
  </w:abstractNum>
  <w:abstractNum w:abstractNumId="35">
    <w:nsid w:val="6EB5BD4"/>
    <w:multiLevelType w:val="hybridMultilevel"/>
    <w:lvl w:ilvl="0">
      <w:lvlJc w:val="left"/>
      <w:lvlText w:val="2"/>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bullet"/>
      <w:start w:val="1"/>
    </w:lvl>
  </w:abstractNum>
  <w:abstractNum w:abstractNumId="41">
    <w:nsid w:val="1716703B"/>
    <w:multiLevelType w:val="hybridMultilevel"/>
    <w:lvl w:ilvl="0">
      <w:lvlJc w:val="left"/>
      <w:lvlText w:val="2"/>
      <w:numFmt w:val="bullet"/>
      <w:start w:val="1"/>
    </w:lvl>
  </w:abstractNum>
  <w:abstractNum w:abstractNumId="42">
    <w:nsid w:val="14E17E33"/>
    <w:multiLevelType w:val="hybridMultilevel"/>
    <w:lvl w:ilvl="0">
      <w:lvlJc w:val="left"/>
      <w:lvlText w:val="%1."/>
      <w:numFmt w:val="decimal"/>
      <w:start w:val="5"/>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1."/>
      <w:numFmt w:val="decimal"/>
      <w:start w:val="4"/>
    </w:lvl>
    <w:lvl w:ilvl="1">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1"/>
      <w:numFmt w:val="bullet"/>
      <w:start w:val="1"/>
    </w:lvl>
  </w:abstractNum>
  <w:abstractNum w:abstractNumId="47">
    <w:nsid w:val="46B7D447"/>
    <w:multiLevelType w:val="hybridMultilevel"/>
    <w:lvl w:ilvl="0">
      <w:lvlJc w:val="left"/>
      <w:lvlText w:val="2"/>
      <w:numFmt w:val="bullet"/>
      <w:start w:val="1"/>
    </w:lvl>
  </w:abstractNum>
  <w:abstractNum w:abstractNumId="48">
    <w:nsid w:val="4A2AC315"/>
    <w:multiLevelType w:val="hybridMultilevel"/>
    <w:lvl w:ilvl="0">
      <w:lvlJc w:val="left"/>
      <w:lvlText w:val="%1."/>
      <w:numFmt w:val="upperLetter"/>
      <w:start w:val="1"/>
    </w:lvl>
  </w:abstractNum>
  <w:abstractNum w:abstractNumId="49">
    <w:nsid w:val="39EE015C"/>
    <w:multiLevelType w:val="hybridMultilevel"/>
    <w:lvl w:ilvl="0">
      <w:lvlJc w:val="left"/>
      <w:lvlText w:val="%1."/>
      <w:numFmt w:val="upperLetter"/>
      <w:start w:val="1"/>
    </w:lvl>
  </w:abstractNum>
  <w:abstractNum w:abstractNumId="50">
    <w:nsid w:val="57FC4FBB"/>
    <w:multiLevelType w:val="hybridMultilevel"/>
    <w:lvl w:ilvl="0">
      <w:lvlJc w:val="left"/>
      <w:lvlText w:val="%1."/>
      <w:numFmt w:val="upperLetter"/>
      <w:start w:val="2"/>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1."/>
      <w:numFmt w:val="upperLetter"/>
      <w:start w:val="3"/>
    </w:lvl>
  </w:abstractNum>
  <w:abstractNum w:abstractNumId="53">
    <w:nsid w:val="60EF0119"/>
    <w:multiLevelType w:val="hybridMultilevel"/>
    <w:lvl w:ilvl="0">
      <w:lvlJc w:val="left"/>
      <w:lvlText w:val="%1."/>
      <w:numFmt w:val="decimal"/>
      <w:start w:val="7"/>
    </w:lvl>
  </w:abstractNum>
  <w:abstractNum w:abstractNumId="54">
    <w:nsid w:val="26F324BA"/>
    <w:multiLevelType w:val="hybridMultilevel"/>
    <w:lvl w:ilvl="0">
      <w:lvlJc w:val="left"/>
      <w:lvlText w:val="1"/>
      <w:numFmt w:val="bullet"/>
      <w:start w:val="1"/>
    </w:lvl>
  </w:abstractNum>
  <w:abstractNum w:abstractNumId="55">
    <w:nsid w:val="7F01579B"/>
    <w:multiLevelType w:val="hybridMultilevel"/>
    <w:lvl w:ilvl="0">
      <w:lvlJc w:val="left"/>
      <w:lvlText w:val="2"/>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1."/>
      <w:numFmt w:val="upperLetter"/>
      <w:start w:val="1"/>
    </w:lvl>
  </w:abstractNum>
  <w:abstractNum w:abstractNumId="58">
    <w:nsid w:val="5FB8370B"/>
    <w:multiLevelType w:val="hybridMultilevel"/>
    <w:lvl w:ilvl="0">
      <w:lvlJc w:val="left"/>
      <w:lvlText w:val="%1."/>
      <w:numFmt w:val="upperLetter"/>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1"/>
      <w:numFmt w:val="bullet"/>
      <w:start w:val="1"/>
    </w:lvl>
  </w:abstractNum>
  <w:abstractNum w:abstractNumId="61">
    <w:nsid w:val="5FB8011C"/>
    <w:multiLevelType w:val="hybridMultilevel"/>
    <w:lvl w:ilvl="0">
      <w:lvlJc w:val="left"/>
      <w:lvlText w:val="2"/>
      <w:numFmt w:val="bullet"/>
      <w:start w:val="1"/>
    </w:lvl>
  </w:abstractNum>
  <w:abstractNum w:abstractNumId="62">
    <w:nsid w:val="6AA78F7F"/>
    <w:multiLevelType w:val="hybridMultilevel"/>
    <w:lvl w:ilvl="0">
      <w:lvlJc w:val="left"/>
      <w:lvlText w:val="3"/>
      <w:numFmt w:val="bullet"/>
      <w:start w:val="1"/>
    </w:lvl>
  </w:abstractNum>
  <w:abstractNum w:abstractNumId="63">
    <w:nsid w:val="7672BD23"/>
    <w:multiLevelType w:val="hybridMultilevel"/>
    <w:lvl w:ilvl="0">
      <w:lvlJc w:val="left"/>
      <w:lvlText w:val="4"/>
      <w:numFmt w:val="bullet"/>
      <w:start w:val="1"/>
    </w:lvl>
  </w:abstractNum>
  <w:abstractNum w:abstractNumId="64">
    <w:nsid w:val="6FC75AF8"/>
    <w:multiLevelType w:val="hybridMultilevel"/>
    <w:lvl w:ilvl="0">
      <w:lvlJc w:val="left"/>
      <w:lvlText w:val="%1."/>
      <w:numFmt w:val="upperLetter"/>
      <w:start w:val="1"/>
    </w:lvl>
  </w:abstractNum>
  <w:abstractNum w:abstractNumId="65">
    <w:nsid w:val="6A5F7029"/>
    <w:multiLevelType w:val="hybridMultilevel"/>
    <w:lvl w:ilvl="0">
      <w:lvlJc w:val="left"/>
      <w:lvlText w:val="%1."/>
      <w:numFmt w:val="upperLetter"/>
      <w:start w:val="2"/>
    </w:lvl>
  </w:abstractNum>
  <w:abstractNum w:abstractNumId="66">
    <w:nsid w:val="7D5E18F8"/>
    <w:multiLevelType w:val="hybridMultilevel"/>
    <w:lvl w:ilvl="0">
      <w:lvlJc w:val="left"/>
      <w:lvlText w:val="●"/>
      <w:numFmt w:val="bullet"/>
      <w:start w:val="1"/>
    </w:lvl>
    <w:lvl w:ilvl="1">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1."/>
      <w:numFmt w:val="upperLetter"/>
      <w:start w:val="2"/>
    </w:lvl>
  </w:abstractNum>
  <w:abstractNum w:abstractNumId="69">
    <w:nsid w:val="7DE67713"/>
    <w:multiLevelType w:val="hybridMultilevel"/>
    <w:lvl w:ilvl="0">
      <w:lvlJc w:val="left"/>
      <w:lvlText w:val="●"/>
      <w:numFmt w:val="bullet"/>
      <w:start w:val="1"/>
    </w:lvl>
    <w:lvl w:ilvl="1">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1."/>
      <w:numFmt w:val="upperLetter"/>
      <w:start w:val="3"/>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1."/>
      <w:numFmt w:val="upperLetter"/>
      <w:start w:val="3"/>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
      <w:numFmt w:val="bullet"/>
      <w:start w:val="1"/>
    </w:lvl>
    <w:lvl w:ilvl="1">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1."/>
      <w:numFmt w:val="upperLetter"/>
      <w:start w:val="4"/>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1."/>
      <w:numFmt w:val="upperLetter"/>
      <w:start w:val="5"/>
    </w:lvl>
  </w:abstractNum>
  <w:abstractNum w:abstractNumId="80">
    <w:nsid w:val="59ADEA3D"/>
    <w:multiLevelType w:val="hybridMultilevel"/>
    <w:lvl w:ilvl="0">
      <w:lvlJc w:val="left"/>
      <w:lvlText w:val="1"/>
      <w:numFmt w:val="bullet"/>
      <w:start w:val="1"/>
    </w:lvl>
  </w:abstractNum>
  <w:abstractNum w:abstractNumId="81">
    <w:nsid w:val="288F1A34"/>
    <w:multiLevelType w:val="hybridMultilevel"/>
    <w:lvl w:ilvl="0">
      <w:lvlJc w:val="left"/>
      <w:lvlText w:val="2"/>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1."/>
      <w:numFmt w:val="decimal"/>
      <w:start w:val="9"/>
    </w:lvl>
  </w:abstractNum>
  <w:abstractNum w:abstractNumId="84">
    <w:nsid w:val="97E1B4E"/>
    <w:multiLevelType w:val="hybridMultilevel"/>
    <w:lvl w:ilvl="0">
      <w:lvlJc w:val="left"/>
      <w:lvlText w:val="%1."/>
      <w:numFmt w:val="upperLetter"/>
      <w:start w:val="1"/>
    </w:lvl>
  </w:abstractNum>
  <w:abstractNum w:abstractNumId="85">
    <w:nsid w:val="51088277"/>
    <w:multiLevelType w:val="hybridMultilevel"/>
    <w:lvl w:ilvl="0">
      <w:lvlJc w:val="left"/>
      <w:lvlText w:val="1"/>
      <w:numFmt w:val="bullet"/>
      <w:start w:val="1"/>
    </w:lvl>
  </w:abstractNum>
  <w:abstractNum w:abstractNumId="86">
    <w:nsid w:val="1CA0C5FA"/>
    <w:multiLevelType w:val="hybridMultilevel"/>
    <w:lvl w:ilvl="0">
      <w:lvlJc w:val="left"/>
      <w:lvlText w:val="%1."/>
      <w:numFmt w:val="upperLetter"/>
      <w:start w:val="2"/>
    </w:lvl>
  </w:abstractNum>
  <w:abstractNum w:abstractNumId="87">
    <w:nsid w:val="53584BCB"/>
    <w:multiLevelType w:val="hybridMultilevel"/>
    <w:lvl w:ilvl="0">
      <w:lvlJc w:val="left"/>
      <w:lvlText w:val="(%1)"/>
      <w:numFmt w:val="decimal"/>
      <w:start w:val="2"/>
    </w:lvl>
  </w:abstractNum>
  <w:abstractNum w:abstractNumId="88">
    <w:nsid w:val="415E286C"/>
    <w:multiLevelType w:val="hybridMultilevel"/>
    <w:lvl w:ilvl="0">
      <w:lvlJc w:val="left"/>
      <w:lvlText w:val="%1."/>
      <w:numFmt w:val="upperLetter"/>
      <w:start w:val="3"/>
    </w:lvl>
  </w:abstractNum>
  <w:abstractNum w:abstractNumId="89">
    <w:nsid w:val="7C58FD05"/>
    <w:multiLevelType w:val="hybridMultilevel"/>
    <w:lvl w:ilvl="0">
      <w:lvlJc w:val="left"/>
      <w:lvlText w:val="1"/>
      <w:numFmt w:val="bullet"/>
      <w:start w:val="1"/>
    </w:lvl>
  </w:abstractNum>
  <w:abstractNum w:abstractNumId="90">
    <w:nsid w:val="23D86AAC"/>
    <w:multiLevelType w:val="hybridMultilevel"/>
    <w:lvl w:ilvl="0">
      <w:lvlJc w:val="left"/>
      <w:lvlText w:val="%1."/>
      <w:numFmt w:val="upperLetter"/>
      <w:start w:val="4"/>
    </w:lvl>
  </w:abstractNum>
  <w:abstractNum w:abstractNumId="91">
    <w:nsid w:val="45E6D486"/>
    <w:multiLevelType w:val="hybridMultilevel"/>
    <w:lvl w:ilvl="0">
      <w:lvlJc w:val="left"/>
      <w:lvlText w:val="1"/>
      <w:numFmt w:val="bullet"/>
      <w:start w:val="1"/>
    </w:lvl>
  </w:abstractNum>
  <w:abstractNum w:abstractNumId="92">
    <w:nsid w:val="5C10FE21"/>
    <w:multiLevelType w:val="hybridMultilevel"/>
    <w:lvl w:ilvl="0">
      <w:lvlJc w:val="left"/>
      <w:lvlText w:val="2"/>
      <w:numFmt w:val="bullet"/>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1."/>
      <w:numFmt w:val="upperLetter"/>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1."/>
      <w:numFmt w:val="upperLetter"/>
      <w:start w:val="1"/>
    </w:lvl>
  </w:abstractNum>
  <w:abstractNum w:abstractNumId="100">
    <w:nsid w:val="379E21B5"/>
    <w:multiLevelType w:val="hybridMultilevel"/>
    <w:lvl w:ilvl="0">
      <w:lvlJc w:val="left"/>
      <w:lvlText w:val="●"/>
      <w:numFmt w:val="bullet"/>
      <w:start w:val="1"/>
    </w:lvl>
    <w:lvl w:ilvl="1">
      <w:lvlJc w:val="left"/>
      <w:lvlText w:val="◦"/>
      <w:numFmt w:val="bullet"/>
      <w:start w:val="1"/>
    </w:lvl>
  </w:abstractNum>
  <w:abstractNum w:abstractNumId="101">
    <w:nsid w:val="69E373"/>
    <w:multiLevelType w:val="hybridMultilevel"/>
    <w:lvl w:ilvl="0">
      <w:lvlJc w:val="left"/>
      <w:lvlText w:val="%1."/>
      <w:numFmt w:val="upperLetter"/>
      <w:start w:val="1"/>
    </w:lvl>
  </w:abstractNum>
  <w:abstractNum w:abstractNumId="102">
    <w:nsid w:val="2C27173B"/>
    <w:multiLevelType w:val="hybridMultilevel"/>
    <w:lvl w:ilvl="0">
      <w:lvlJc w:val="left"/>
      <w:lvlText w:val="%1."/>
      <w:numFmt w:val="upperLetter"/>
      <w:start w:val="2"/>
    </w:lvl>
  </w:abstractNum>
  <w:abstractNum w:abstractNumId="103">
    <w:nsid w:val="4C9B0904"/>
    <w:multiLevelType w:val="hybridMultilevel"/>
    <w:lvl w:ilvl="0">
      <w:lvlJc w:val="left"/>
      <w:lvlText w:val="%1."/>
      <w:numFmt w:val="upperLetter"/>
      <w:start w:val="2"/>
    </w:lvl>
  </w:abstractNum>
  <w:abstractNum w:abstractNumId="104">
    <w:nsid w:val="6AA7B75C"/>
    <w:multiLevelType w:val="hybridMultilevel"/>
    <w:lvl w:ilvl="0">
      <w:lvlJc w:val="left"/>
      <w:lvlText w:val="%1."/>
      <w:numFmt w:val="upperLetter"/>
      <w:start w:val="2"/>
    </w:lvl>
  </w:abstractNum>
  <w:abstractNum w:abstractNumId="105">
    <w:nsid w:val="1DF029D3"/>
    <w:multiLevelType w:val="hybridMultilevel"/>
    <w:lvl w:ilvl="0">
      <w:lvlJc w:val="left"/>
      <w:lvlText w:val="%1."/>
      <w:numFmt w:val="upperLetter"/>
      <w:start w:val="3"/>
    </w:lvl>
  </w:abstractNum>
  <w:abstractNum w:abstractNumId="106">
    <w:nsid w:val="5675FF36"/>
    <w:multiLevelType w:val="hybridMultilevel"/>
    <w:lvl w:ilvl="0">
      <w:lvlJc w:val="left"/>
      <w:lvlText w:val="%1."/>
      <w:numFmt w:val="upperLetter"/>
      <w:start w:val="4"/>
    </w:lvl>
  </w:abstractNum>
  <w:abstractNum w:abstractNumId="107">
    <w:nsid w:val="3DD15094"/>
    <w:multiLevelType w:val="hybridMultilevel"/>
    <w:lvl w:ilvl="0">
      <w:lvlJc w:val="left"/>
      <w:lvlText w:val="%1."/>
      <w:numFmt w:val="upperLetter"/>
      <w:start w:val="4"/>
    </w:lvl>
  </w:abstractNum>
  <w:abstractNum w:abstractNumId="108">
    <w:nsid w:val="3DB012B3"/>
    <w:multiLevelType w:val="hybridMultilevel"/>
    <w:lvl w:ilvl="0">
      <w:lvlJc w:val="left"/>
      <w:lvlText w:val="%1."/>
      <w:numFmt w:val="upperLetter"/>
      <w:start w:val="5"/>
    </w:lvl>
  </w:abstractNum>
  <w:abstractNum w:abstractNumId="109">
    <w:nsid w:val="2708C9AF"/>
    <w:multiLevelType w:val="hybridMultilevel"/>
    <w:lvl w:ilvl="0">
      <w:lvlJc w:val="left"/>
      <w:lvlText w:val="%1."/>
      <w:numFmt w:val="upperLetter"/>
      <w:start w:val="6"/>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
      <w:numFmt w:val="bullet"/>
      <w:start w:val="1"/>
    </w:lvl>
  </w:abstractNum>
  <w:abstractNum w:abstractNumId="113">
    <w:nsid w:val="53B0A9E"/>
    <w:multiLevelType w:val="hybridMultilevel"/>
    <w:lvl w:ilvl="0">
      <w:lvlJc w:val="left"/>
      <w:lvlText w:val="%1."/>
      <w:numFmt w:val="upperLetter"/>
      <w:start w:val="2"/>
    </w:lvl>
    <w:lvl w:ilvl="1">
      <w:lvlJc w:val="left"/>
      <w:lvlText w:val="●"/>
      <w:numFmt w:val="bullet"/>
      <w:start w:val="1"/>
    </w:lvl>
  </w:abstractNum>
  <w:abstractNum w:abstractNumId="114">
    <w:nsid w:val="34FD6B4F"/>
    <w:multiLevelType w:val="hybridMultilevel"/>
    <w:lvl w:ilvl="0">
      <w:lvlJc w:val="left"/>
      <w:lvlText w:val="%1."/>
      <w:numFmt w:val="upperLetter"/>
      <w:start w:val="1"/>
    </w:lvl>
  </w:abstractNum>
  <w:abstractNum w:abstractNumId="115">
    <w:nsid w:val="5915FF32"/>
    <w:multiLevelType w:val="hybridMultilevel"/>
    <w:lvl w:ilvl="0">
      <w:lvlJc w:val="left"/>
      <w:lvlText w:val="%1)"/>
      <w:numFmt w:val="lowerRoman"/>
      <w:start w:val="1"/>
    </w:lvl>
  </w:abstractNum>
  <w:abstractNum w:abstractNumId="116">
    <w:nsid w:val="56438D15"/>
    <w:multiLevelType w:val="hybridMultilevel"/>
    <w:lvl w:ilvl="0">
      <w:lvlJc w:val="left"/>
      <w:lvlText w:val="%1."/>
      <w:numFmt w:val="upperLetter"/>
      <w:start w:val="2"/>
    </w:lvl>
  </w:abstractNum>
  <w:abstractNum w:abstractNumId="117">
    <w:nsid w:val="519E3149"/>
    <w:multiLevelType w:val="hybridMultilevel"/>
    <w:lvl w:ilvl="0">
      <w:lvlJc w:val="left"/>
      <w:lvlText w:val="%1."/>
      <w:numFmt w:val="upperLetter"/>
      <w:start w:val="2"/>
    </w:lvl>
  </w:abstractNum>
  <w:abstractNum w:abstractNumId="118">
    <w:nsid w:val="2C6E4AFD"/>
    <w:multiLevelType w:val="hybridMultilevel"/>
    <w:lvl w:ilvl="0">
      <w:lvlJc w:val="left"/>
      <w:lvlText w:val="%1."/>
      <w:numFmt w:val="upperLetter"/>
      <w:start w:val="3"/>
    </w:lvl>
  </w:abstractNum>
  <w:abstractNum w:abstractNumId="119">
    <w:nsid w:val="17A1B582"/>
    <w:multiLevelType w:val="hybridMultilevel"/>
    <w:lvl w:ilvl="0">
      <w:lvlJc w:val="left"/>
      <w:lvlText w:val="%1."/>
      <w:numFmt w:val="upperLetter"/>
      <w:start w:val="4"/>
    </w:lvl>
  </w:abstractNum>
  <w:abstractNum w:abstractNumId="120">
    <w:nsid w:val="4DF72E4E"/>
    <w:multiLevelType w:val="hybridMultilevel"/>
    <w:lvl w:ilvl="0">
      <w:lvlJc w:val="left"/>
      <w:lvlText w:val="%1."/>
      <w:numFmt w:val="upperLetter"/>
      <w:start w:val="4"/>
    </w:lvl>
  </w:abstractNum>
  <w:abstractNum w:abstractNumId="121">
    <w:nsid w:val="5046B5A9"/>
    <w:multiLevelType w:val="hybridMultilevel"/>
    <w:lvl w:ilvl="0">
      <w:lvlJc w:val="left"/>
      <w:lvlText w:val="%1."/>
      <w:numFmt w:val="upperLetter"/>
      <w:start w:val="1"/>
    </w:lvl>
  </w:abstractNum>
  <w:abstractNum w:abstractNumId="122">
    <w:nsid w:val="5D888A08"/>
    <w:multiLevelType w:val="hybridMultilevel"/>
    <w:lvl w:ilvl="0">
      <w:lvlJc w:val="left"/>
      <w:lvlText w:val="%1."/>
      <w:numFmt w:val="upperLetter"/>
      <w:start w:val="2"/>
    </w:lvl>
  </w:abstractNum>
  <w:abstractNum w:abstractNumId="123">
    <w:nsid w:val="2A082C70"/>
    <w:multiLevelType w:val="hybridMultilevel"/>
    <w:lvl w:ilvl="0">
      <w:lvlJc w:val="left"/>
      <w:lvlText w:val="%1."/>
      <w:numFmt w:val="upperLetter"/>
      <w:start w:val="3"/>
    </w:lvl>
  </w:abstractNum>
  <w:abstractNum w:abstractNumId="124">
    <w:nsid w:val="5EC6AFD4"/>
    <w:multiLevelType w:val="hybridMultilevel"/>
    <w:lvl w:ilvl="0">
      <w:lvlJc w:val="left"/>
      <w:lvlText w:val="%1."/>
      <w:numFmt w:val="upperLetter"/>
      <w:start w:val="4"/>
    </w:lvl>
  </w:abstractNum>
  <w:abstractNum w:abstractNumId="125">
    <w:nsid w:val="19E21BB2"/>
    <w:multiLevelType w:val="hybridMultilevel"/>
    <w:lvl w:ilvl="0">
      <w:lvlJc w:val="left"/>
      <w:lvlText w:val="%1."/>
      <w:numFmt w:val="upperLetter"/>
      <w:start w:val="5"/>
    </w:lvl>
  </w:abstractNum>
  <w:abstractNum w:abstractNumId="126">
    <w:nsid w:val="75E0858A"/>
    <w:multiLevelType w:val="hybridMultilevel"/>
    <w:lvl w:ilvl="0">
      <w:lvlJc w:val="left"/>
      <w:lvlText w:val="●"/>
      <w:numFmt w:val="bullet"/>
      <w:start w:val="1"/>
    </w:lvl>
  </w:abstractNum>
  <w:abstractNum w:abstractNumId="127">
    <w:nsid w:val="57A61A29"/>
    <w:multiLevelType w:val="hybridMultilevel"/>
    <w:lvl w:ilvl="0">
      <w:lvlJc w:val="left"/>
      <w:lvlText w:val="%1."/>
      <w:numFmt w:val="decimal"/>
      <w:start w:val="22"/>
    </w:lvl>
    <w:lvl w:ilvl="1">
      <w:lvlJc w:val="left"/>
      <w:lvlText w:val="●"/>
      <w:numFmt w:val="bullet"/>
      <w:start w:val="1"/>
    </w:lvl>
  </w:abstractNum>
  <w:abstractNum w:abstractNumId="128">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9">
    <w:nsid w:val="20EE1348"/>
    <w:multiLevelType w:val="hybridMultilevel"/>
    <w:lvl w:ilvl="0">
      <w:lvlJc w:val="left"/>
      <w:lvlText w:val="%1"/>
      <w:numFmt w:val="decimal"/>
      <w:start w:val="1"/>
    </w:lvl>
    <w:lvl w:ilvl="1">
      <w:lvlJc w:val="left"/>
      <w:lvlText w:val="(%2)"/>
      <w:numFmt w:val="lowerLetter"/>
      <w:start w:val="1"/>
    </w:lvl>
  </w:abstractNum>
  <w:abstractNum w:abstractNumId="130">
    <w:nsid w:val="4427069A"/>
    <w:multiLevelType w:val="hybridMultilevel"/>
    <w:lvl w:ilvl="0">
      <w:lvlJc w:val="left"/>
      <w:lvlText w:val="%1."/>
      <w:numFmt w:val="decimal"/>
      <w:start w:val="6"/>
    </w:lvl>
    <w:lvl w:ilvl="1">
      <w:lvlJc w:val="left"/>
      <w:lvlText w:val="%2"/>
      <w:numFmt w:val="lowerLetter"/>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2">
    <w:nsid w:val="2157F6BC"/>
    <w:multiLevelType w:val="hybridMultilevel"/>
    <w:lvl w:ilvl="0">
      <w:lvlJc w:val="left"/>
      <w:lvlText w:val="(%1)"/>
      <w:numFmt w:val="lowerLetter"/>
      <w:start w:val="1"/>
    </w:lvl>
  </w:abstractNum>
  <w:abstractNum w:abstractNumId="133">
    <w:nsid w:val="704E1DD5"/>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jpe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 Id="rId21" Type="http://schemas.openxmlformats.org/officeDocument/2006/relationships/hyperlink" Target="https://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2025-08-12T06:51:27Z</dcterms:created>
  <dcterms:modified xsi:type="dcterms:W3CDTF">2025-08-12T06:51:27Z</dcterms:modified>
</cp:coreProperties>
</file>